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DCCDF" w14:textId="77777777" w:rsidR="0058753F" w:rsidRPr="00155114" w:rsidRDefault="0058753F" w:rsidP="00277429">
      <w:pPr>
        <w:pStyle w:val="Encabezado"/>
        <w:ind w:left="-426"/>
        <w:contextualSpacing/>
        <w:rPr>
          <w:rFonts w:cs="Times New Roman"/>
          <w:i/>
          <w:szCs w:val="24"/>
        </w:rPr>
      </w:pPr>
    </w:p>
    <w:p w14:paraId="75D93C0F" w14:textId="77777777" w:rsidR="00DA5F5C" w:rsidRPr="00155114" w:rsidRDefault="00DA5F5C" w:rsidP="00277429">
      <w:pPr>
        <w:spacing w:line="240" w:lineRule="auto"/>
        <w:contextualSpacing/>
        <w:rPr>
          <w:rFonts w:cs="Times New Roman"/>
          <w:szCs w:val="24"/>
        </w:rPr>
      </w:pPr>
    </w:p>
    <w:p w14:paraId="29E1FC5E" w14:textId="77777777" w:rsidR="00A4778B" w:rsidRPr="00155114" w:rsidRDefault="00A4778B" w:rsidP="00277429">
      <w:pPr>
        <w:spacing w:line="240" w:lineRule="auto"/>
        <w:contextualSpacing/>
        <w:rPr>
          <w:rFonts w:cs="Times New Roman"/>
          <w:szCs w:val="24"/>
        </w:rPr>
      </w:pPr>
    </w:p>
    <w:p w14:paraId="5D9B71CC" w14:textId="701352FD" w:rsidR="00A4778B" w:rsidRPr="00573780" w:rsidRDefault="00227186" w:rsidP="00573780">
      <w:pPr>
        <w:pStyle w:val="SupenEncabezado"/>
        <w:rPr>
          <w:rStyle w:val="SupenEncabezadoCar"/>
          <w:b/>
          <w:bCs/>
        </w:rPr>
      </w:pPr>
      <w:sdt>
        <w:sdtPr>
          <w:rPr>
            <w:rStyle w:val="SupenEncabezadoCar"/>
            <w:b/>
            <w:bCs/>
          </w:rPr>
          <w:alias w:val="Código"/>
          <w:tag w:val="A"/>
          <w:id w:val="1991359848"/>
          <w:lock w:val="sdtLocked"/>
          <w:placeholder>
            <w:docPart w:val="84B729D4B2644B11B923F71EA983CB2B"/>
          </w:placeholder>
          <w:text/>
        </w:sdtPr>
        <w:sdtEndPr>
          <w:rPr>
            <w:rStyle w:val="SupenEncabezadoCar"/>
          </w:rPr>
        </w:sdtEndPr>
        <w:sdtContent>
          <w:r w:rsidR="00573780" w:rsidRPr="00573780">
            <w:rPr>
              <w:rStyle w:val="SupenEncabezadoCar"/>
              <w:b/>
              <w:bCs/>
            </w:rPr>
            <w:t>SP-A-248-2021</w:t>
          </w:r>
        </w:sdtContent>
      </w:sdt>
    </w:p>
    <w:p w14:paraId="2F697C2C" w14:textId="77777777" w:rsidR="003262D5" w:rsidRPr="00155114" w:rsidRDefault="003262D5" w:rsidP="00277429">
      <w:pPr>
        <w:spacing w:line="240" w:lineRule="auto"/>
        <w:contextualSpacing/>
        <w:rPr>
          <w:rFonts w:cs="Times New Roman"/>
          <w:szCs w:val="24"/>
        </w:rPr>
      </w:pPr>
    </w:p>
    <w:p w14:paraId="232C5F3E" w14:textId="77777777" w:rsidR="00A429F0" w:rsidRPr="00155114" w:rsidRDefault="00A429F0" w:rsidP="00277429">
      <w:pPr>
        <w:spacing w:line="240" w:lineRule="auto"/>
        <w:contextualSpacing/>
        <w:rPr>
          <w:rFonts w:cs="Times New Roman"/>
          <w:szCs w:val="24"/>
        </w:rPr>
      </w:pPr>
    </w:p>
    <w:p w14:paraId="7CCD6E63" w14:textId="77777777" w:rsidR="00416B8B" w:rsidRPr="003133D7" w:rsidRDefault="00416B8B" w:rsidP="00277429">
      <w:pPr>
        <w:spacing w:line="240" w:lineRule="auto"/>
        <w:contextualSpacing/>
        <w:jc w:val="center"/>
        <w:rPr>
          <w:rFonts w:asciiTheme="minorHAnsi" w:eastAsia="Calibri" w:hAnsiTheme="minorHAnsi" w:cstheme="minorHAnsi"/>
          <w:b/>
          <w:bCs/>
          <w:szCs w:val="24"/>
        </w:rPr>
      </w:pPr>
      <w:r w:rsidRPr="003133D7">
        <w:rPr>
          <w:rFonts w:asciiTheme="minorHAnsi" w:eastAsia="Calibri" w:hAnsiTheme="minorHAnsi" w:cstheme="minorHAnsi"/>
          <w:b/>
          <w:bCs/>
          <w:szCs w:val="24"/>
        </w:rPr>
        <w:t xml:space="preserve">SE REFORMA EL ACUERDO SP-A-137-2010, “PLAZO Y FORMA DE LOS TRASLADOS DE RECURSOS DE LA CUENTA INDIVIDUAL DE LOS AFILIADOS AL RÉGIMEN DE CAPITALIZACIÓN INDIVIDUAL” </w:t>
      </w:r>
    </w:p>
    <w:p w14:paraId="7010B3F6" w14:textId="77777777" w:rsidR="00416B8B" w:rsidRPr="003133D7" w:rsidRDefault="00416B8B" w:rsidP="00277429">
      <w:pPr>
        <w:spacing w:line="240" w:lineRule="auto"/>
        <w:contextualSpacing/>
        <w:jc w:val="both"/>
        <w:rPr>
          <w:rFonts w:asciiTheme="minorHAnsi" w:eastAsia="Calibri" w:hAnsiTheme="minorHAnsi" w:cstheme="minorHAnsi"/>
          <w:szCs w:val="24"/>
        </w:rPr>
      </w:pPr>
    </w:p>
    <w:p w14:paraId="4BD4E911" w14:textId="77777777" w:rsidR="00416B8B" w:rsidRPr="003133D7" w:rsidRDefault="00416B8B" w:rsidP="00277429">
      <w:pPr>
        <w:spacing w:line="240" w:lineRule="auto"/>
        <w:contextualSpacing/>
        <w:jc w:val="both"/>
        <w:rPr>
          <w:rFonts w:asciiTheme="minorHAnsi" w:eastAsia="Calibri" w:hAnsiTheme="minorHAnsi" w:cstheme="minorHAnsi"/>
          <w:szCs w:val="24"/>
        </w:rPr>
      </w:pPr>
    </w:p>
    <w:p w14:paraId="41FDFF07" w14:textId="604AE15A" w:rsidR="00416B8B" w:rsidRPr="00155114" w:rsidRDefault="00416B8B" w:rsidP="00277429">
      <w:pPr>
        <w:spacing w:line="240" w:lineRule="auto"/>
        <w:contextualSpacing/>
        <w:jc w:val="both"/>
        <w:rPr>
          <w:rFonts w:eastAsia="Calibri" w:cs="Times New Roman"/>
          <w:szCs w:val="24"/>
        </w:rPr>
      </w:pPr>
      <w:r w:rsidRPr="00155114">
        <w:rPr>
          <w:rFonts w:eastAsia="Calibri" w:cs="Times New Roman"/>
          <w:szCs w:val="24"/>
        </w:rPr>
        <w:t xml:space="preserve">Superintendencia de Pensiones, al ser las </w:t>
      </w:r>
      <w:r w:rsidR="00084081">
        <w:rPr>
          <w:rFonts w:eastAsia="Calibri" w:cs="Times New Roman"/>
          <w:szCs w:val="24"/>
        </w:rPr>
        <w:t>once</w:t>
      </w:r>
      <w:r w:rsidRPr="00155114">
        <w:rPr>
          <w:rFonts w:eastAsia="Calibri" w:cs="Times New Roman"/>
          <w:szCs w:val="24"/>
        </w:rPr>
        <w:t xml:space="preserve"> horas del día </w:t>
      </w:r>
      <w:r w:rsidR="00E67F28">
        <w:rPr>
          <w:rFonts w:eastAsia="Calibri" w:cs="Times New Roman"/>
          <w:szCs w:val="24"/>
        </w:rPr>
        <w:t>veintidós</w:t>
      </w:r>
      <w:r w:rsidRPr="00155114">
        <w:rPr>
          <w:rFonts w:eastAsia="Calibri" w:cs="Times New Roman"/>
          <w:szCs w:val="24"/>
        </w:rPr>
        <w:t xml:space="preserve"> de </w:t>
      </w:r>
      <w:r w:rsidR="00E67F28">
        <w:rPr>
          <w:rFonts w:eastAsia="Calibri" w:cs="Times New Roman"/>
          <w:szCs w:val="24"/>
        </w:rPr>
        <w:t>diciembre</w:t>
      </w:r>
      <w:r w:rsidRPr="00155114">
        <w:rPr>
          <w:rFonts w:eastAsia="Calibri" w:cs="Times New Roman"/>
          <w:szCs w:val="24"/>
        </w:rPr>
        <w:t xml:space="preserve"> de 2021.</w:t>
      </w:r>
    </w:p>
    <w:p w14:paraId="482D7ED1" w14:textId="77777777" w:rsidR="00416B8B" w:rsidRPr="00155114" w:rsidRDefault="00416B8B" w:rsidP="00277429">
      <w:pPr>
        <w:spacing w:line="240" w:lineRule="auto"/>
        <w:contextualSpacing/>
        <w:jc w:val="both"/>
        <w:rPr>
          <w:rFonts w:eastAsia="Calibri" w:cs="Times New Roman"/>
          <w:szCs w:val="24"/>
        </w:rPr>
      </w:pPr>
    </w:p>
    <w:p w14:paraId="1466F883" w14:textId="77777777" w:rsidR="00416B8B" w:rsidRPr="00155114" w:rsidRDefault="00416B8B" w:rsidP="00277429">
      <w:pPr>
        <w:spacing w:line="240" w:lineRule="auto"/>
        <w:contextualSpacing/>
        <w:rPr>
          <w:rFonts w:eastAsia="Calibri" w:cs="Times New Roman"/>
          <w:szCs w:val="24"/>
        </w:rPr>
      </w:pPr>
    </w:p>
    <w:p w14:paraId="4D58723C" w14:textId="77777777" w:rsidR="00416B8B" w:rsidRPr="003133D7" w:rsidRDefault="00416B8B" w:rsidP="00277429">
      <w:pPr>
        <w:spacing w:line="240" w:lineRule="auto"/>
        <w:contextualSpacing/>
        <w:jc w:val="center"/>
        <w:rPr>
          <w:rFonts w:asciiTheme="minorHAnsi" w:eastAsia="Calibri" w:hAnsiTheme="minorHAnsi" w:cstheme="minorHAnsi"/>
          <w:b/>
          <w:bCs/>
          <w:szCs w:val="24"/>
        </w:rPr>
      </w:pPr>
      <w:r w:rsidRPr="003133D7">
        <w:rPr>
          <w:rFonts w:asciiTheme="minorHAnsi" w:eastAsia="Calibri" w:hAnsiTheme="minorHAnsi" w:cstheme="minorHAnsi"/>
          <w:b/>
          <w:bCs/>
          <w:szCs w:val="24"/>
        </w:rPr>
        <w:t>CONSIDERANDO:</w:t>
      </w:r>
    </w:p>
    <w:p w14:paraId="55234DEC" w14:textId="77777777" w:rsidR="00416B8B" w:rsidRPr="00155114" w:rsidRDefault="00416B8B" w:rsidP="00277429">
      <w:pPr>
        <w:spacing w:line="240" w:lineRule="auto"/>
        <w:contextualSpacing/>
        <w:jc w:val="center"/>
        <w:rPr>
          <w:rFonts w:eastAsia="Calibri" w:cs="Times New Roman"/>
          <w:b/>
          <w:bCs/>
          <w:szCs w:val="24"/>
        </w:rPr>
      </w:pPr>
    </w:p>
    <w:p w14:paraId="02B142ED" w14:textId="775E36C8" w:rsidR="00432DF6" w:rsidRPr="00155114" w:rsidRDefault="00416B8B" w:rsidP="004F7E4F">
      <w:pPr>
        <w:pStyle w:val="Prrafodelista"/>
        <w:numPr>
          <w:ilvl w:val="0"/>
          <w:numId w:val="1"/>
        </w:numPr>
        <w:spacing w:line="240" w:lineRule="auto"/>
        <w:jc w:val="both"/>
        <w:rPr>
          <w:rFonts w:eastAsia="Calibri" w:cs="Times New Roman"/>
          <w:szCs w:val="24"/>
        </w:rPr>
      </w:pPr>
      <w:r w:rsidRPr="00155114">
        <w:rPr>
          <w:rFonts w:eastAsia="Calibri" w:cs="Times New Roman"/>
          <w:szCs w:val="24"/>
        </w:rPr>
        <w:t xml:space="preserve">El artículo 10 de la </w:t>
      </w:r>
      <w:r w:rsidRPr="00155114">
        <w:rPr>
          <w:rFonts w:eastAsia="Calibri" w:cs="Times New Roman"/>
          <w:i/>
          <w:iCs/>
          <w:szCs w:val="24"/>
        </w:rPr>
        <w:t>Ley de Protección al Trabajador</w:t>
      </w:r>
      <w:r w:rsidRPr="00155114">
        <w:rPr>
          <w:rFonts w:eastAsia="Calibri" w:cs="Times New Roman"/>
          <w:szCs w:val="24"/>
        </w:rPr>
        <w:t>, No. 7983, establece, como un derecho de los trabajadores, transferirse, libremente y sin costo alguno, a la operadora de su elección.</w:t>
      </w:r>
    </w:p>
    <w:p w14:paraId="5E6F724A" w14:textId="77777777" w:rsidR="00BB69D4" w:rsidRPr="00155114" w:rsidRDefault="00BB69D4" w:rsidP="001148DF">
      <w:pPr>
        <w:spacing w:line="240" w:lineRule="auto"/>
        <w:rPr>
          <w:rFonts w:eastAsia="Calibri" w:cs="Times New Roman"/>
          <w:szCs w:val="24"/>
        </w:rPr>
      </w:pPr>
    </w:p>
    <w:p w14:paraId="74806090" w14:textId="275E4E56" w:rsidR="009704B1" w:rsidRPr="00155114" w:rsidRDefault="00416B8B" w:rsidP="00277429">
      <w:pPr>
        <w:pStyle w:val="Prrafodelista"/>
        <w:numPr>
          <w:ilvl w:val="0"/>
          <w:numId w:val="1"/>
        </w:numPr>
        <w:spacing w:line="240" w:lineRule="auto"/>
        <w:jc w:val="both"/>
        <w:rPr>
          <w:rFonts w:eastAsia="Calibri" w:cs="Times New Roman"/>
          <w:szCs w:val="24"/>
        </w:rPr>
      </w:pPr>
      <w:r w:rsidRPr="00155114">
        <w:rPr>
          <w:rFonts w:cs="Times New Roman"/>
          <w:szCs w:val="24"/>
        </w:rPr>
        <w:t>Mediante el acuerdo SP-A-137-2010 se dispuso el plazo y forma de los traslados de los recursos de la cuenta individual de los afiliados al Régimen de Capitalización Individual</w:t>
      </w:r>
      <w:r w:rsidR="000528E2" w:rsidRPr="00155114">
        <w:rPr>
          <w:rFonts w:cs="Times New Roman"/>
          <w:szCs w:val="24"/>
        </w:rPr>
        <w:t xml:space="preserve"> entre operadoras </w:t>
      </w:r>
      <w:r w:rsidRPr="00155114">
        <w:rPr>
          <w:rFonts w:cs="Times New Roman"/>
          <w:szCs w:val="24"/>
        </w:rPr>
        <w:t xml:space="preserve">y, además, se incorporaron las disposiciones sobre el funcionamiento y operación del </w:t>
      </w:r>
      <w:r w:rsidRPr="00155114">
        <w:rPr>
          <w:rFonts w:cs="Times New Roman"/>
          <w:i/>
          <w:iCs/>
          <w:szCs w:val="24"/>
        </w:rPr>
        <w:t>Servicio Electrónico de Compensación y Liquidación de Recursos entre Entidades Supervisadas</w:t>
      </w:r>
      <w:r w:rsidRPr="00155114">
        <w:rPr>
          <w:rFonts w:cs="Times New Roman"/>
          <w:szCs w:val="24"/>
        </w:rPr>
        <w:t xml:space="preserve"> (SEC)</w:t>
      </w:r>
      <w:r w:rsidR="001C5661" w:rsidRPr="00155114">
        <w:rPr>
          <w:rFonts w:cs="Times New Roman"/>
          <w:szCs w:val="24"/>
        </w:rPr>
        <w:t>.</w:t>
      </w:r>
    </w:p>
    <w:p w14:paraId="7C0572CA" w14:textId="77777777" w:rsidR="009704B1" w:rsidRPr="00155114" w:rsidRDefault="009704B1" w:rsidP="00277429">
      <w:pPr>
        <w:pStyle w:val="Prrafodelista"/>
        <w:spacing w:line="240" w:lineRule="auto"/>
        <w:rPr>
          <w:rFonts w:cs="Times New Roman"/>
          <w:szCs w:val="24"/>
          <w:lang w:val="es-MX"/>
        </w:rPr>
      </w:pPr>
    </w:p>
    <w:p w14:paraId="4115787C" w14:textId="790F1585" w:rsidR="009E4B01" w:rsidRPr="00155114" w:rsidRDefault="00A9716F" w:rsidP="007A3C77">
      <w:pPr>
        <w:pStyle w:val="Prrafodelista"/>
        <w:numPr>
          <w:ilvl w:val="0"/>
          <w:numId w:val="1"/>
        </w:numPr>
        <w:spacing w:line="240" w:lineRule="auto"/>
        <w:jc w:val="both"/>
        <w:rPr>
          <w:rFonts w:eastAsia="Calibri" w:cs="Times New Roman"/>
          <w:szCs w:val="24"/>
        </w:rPr>
      </w:pPr>
      <w:r w:rsidRPr="00155114">
        <w:rPr>
          <w:rFonts w:cs="Times New Roman"/>
          <w:szCs w:val="24"/>
          <w:lang w:val="es-MX"/>
        </w:rPr>
        <w:t>D</w:t>
      </w:r>
      <w:r w:rsidR="00975BFC" w:rsidRPr="00155114">
        <w:rPr>
          <w:rFonts w:cs="Times New Roman"/>
          <w:szCs w:val="24"/>
          <w:lang w:val="es-MX"/>
        </w:rPr>
        <w:t>urante</w:t>
      </w:r>
      <w:r w:rsidR="00D40443" w:rsidRPr="00155114">
        <w:rPr>
          <w:rFonts w:cs="Times New Roman"/>
          <w:szCs w:val="24"/>
          <w:lang w:val="es-MX"/>
        </w:rPr>
        <w:t xml:space="preserve"> </w:t>
      </w:r>
      <w:r w:rsidR="008D0A74" w:rsidRPr="00155114">
        <w:rPr>
          <w:rFonts w:cs="Times New Roman"/>
          <w:szCs w:val="24"/>
          <w:lang w:val="es-MX"/>
        </w:rPr>
        <w:t>el ciclo de compensación y liquidación del SEC</w:t>
      </w:r>
      <w:r w:rsidR="009856B7" w:rsidRPr="00155114">
        <w:rPr>
          <w:rFonts w:cs="Times New Roman"/>
          <w:szCs w:val="24"/>
          <w:lang w:val="es-MX"/>
        </w:rPr>
        <w:t xml:space="preserve"> </w:t>
      </w:r>
      <w:r w:rsidRPr="00155114">
        <w:rPr>
          <w:rFonts w:cs="Times New Roman"/>
          <w:szCs w:val="24"/>
          <w:lang w:val="es-MX"/>
        </w:rPr>
        <w:t xml:space="preserve">se realizan diversos procesos que </w:t>
      </w:r>
      <w:r w:rsidR="00D47AA5" w:rsidRPr="00155114">
        <w:rPr>
          <w:rFonts w:cs="Times New Roman"/>
          <w:szCs w:val="24"/>
          <w:lang w:val="es-MX"/>
        </w:rPr>
        <w:t>comprenden</w:t>
      </w:r>
      <w:r w:rsidR="00915D26" w:rsidRPr="00155114">
        <w:rPr>
          <w:rFonts w:cs="Times New Roman"/>
          <w:szCs w:val="24"/>
          <w:lang w:val="es-MX"/>
        </w:rPr>
        <w:t xml:space="preserve"> </w:t>
      </w:r>
      <w:r w:rsidR="006F11C1" w:rsidRPr="00155114">
        <w:rPr>
          <w:rFonts w:cs="Times New Roman"/>
          <w:szCs w:val="24"/>
          <w:lang w:val="es-MX"/>
        </w:rPr>
        <w:t xml:space="preserve">el traslado de los recursos </w:t>
      </w:r>
      <w:r w:rsidRPr="00155114">
        <w:rPr>
          <w:rFonts w:cs="Times New Roman"/>
          <w:szCs w:val="24"/>
          <w:lang w:val="es-MX"/>
        </w:rPr>
        <w:t xml:space="preserve">de </w:t>
      </w:r>
      <w:r w:rsidR="006F11C1" w:rsidRPr="00155114">
        <w:rPr>
          <w:rFonts w:cs="Times New Roman"/>
          <w:szCs w:val="24"/>
          <w:lang w:val="es-MX"/>
        </w:rPr>
        <w:t>las cuentas individuales</w:t>
      </w:r>
      <w:r w:rsidR="00F57AC2" w:rsidRPr="00155114">
        <w:rPr>
          <w:rFonts w:cs="Times New Roman"/>
          <w:szCs w:val="24"/>
          <w:lang w:val="es-MX"/>
        </w:rPr>
        <w:t xml:space="preserve"> de </w:t>
      </w:r>
      <w:r w:rsidRPr="00155114">
        <w:rPr>
          <w:rFonts w:cs="Times New Roman"/>
          <w:szCs w:val="24"/>
          <w:lang w:val="es-MX"/>
        </w:rPr>
        <w:t>los</w:t>
      </w:r>
      <w:r w:rsidR="00F57AC2" w:rsidRPr="00155114">
        <w:rPr>
          <w:rFonts w:cs="Times New Roman"/>
          <w:szCs w:val="24"/>
          <w:lang w:val="es-MX"/>
        </w:rPr>
        <w:t xml:space="preserve"> fondos administrados</w:t>
      </w:r>
      <w:r w:rsidRPr="00155114">
        <w:rPr>
          <w:rFonts w:cs="Times New Roman"/>
          <w:szCs w:val="24"/>
          <w:lang w:val="es-MX"/>
        </w:rPr>
        <w:t xml:space="preserve"> por las operadoras</w:t>
      </w:r>
      <w:r w:rsidR="008A0020" w:rsidRPr="00155114">
        <w:rPr>
          <w:rFonts w:cs="Times New Roman"/>
          <w:szCs w:val="24"/>
          <w:lang w:val="es-MX"/>
        </w:rPr>
        <w:t>;</w:t>
      </w:r>
      <w:r w:rsidR="00A00164" w:rsidRPr="00155114">
        <w:rPr>
          <w:rFonts w:cs="Times New Roman"/>
          <w:szCs w:val="24"/>
          <w:lang w:val="es-MX"/>
        </w:rPr>
        <w:t xml:space="preserve"> la determinación </w:t>
      </w:r>
      <w:r w:rsidR="00C6702C" w:rsidRPr="00155114">
        <w:rPr>
          <w:rFonts w:cs="Times New Roman"/>
          <w:szCs w:val="24"/>
          <w:lang w:val="es-MX"/>
        </w:rPr>
        <w:t xml:space="preserve"> </w:t>
      </w:r>
      <w:r w:rsidR="00A00164" w:rsidRPr="00155114">
        <w:rPr>
          <w:rFonts w:cs="Times New Roman"/>
          <w:szCs w:val="24"/>
          <w:lang w:val="es-MX"/>
        </w:rPr>
        <w:t xml:space="preserve">de </w:t>
      </w:r>
      <w:r w:rsidR="00A30B38" w:rsidRPr="00155114">
        <w:rPr>
          <w:rFonts w:cs="Times New Roman"/>
          <w:szCs w:val="24"/>
          <w:lang w:val="es-MX"/>
        </w:rPr>
        <w:t xml:space="preserve">la posición </w:t>
      </w:r>
      <w:r w:rsidR="00F53CAB" w:rsidRPr="00155114">
        <w:rPr>
          <w:rFonts w:cs="Times New Roman"/>
          <w:szCs w:val="24"/>
          <w:lang w:val="es-MX"/>
        </w:rPr>
        <w:t xml:space="preserve">multilateral </w:t>
      </w:r>
      <w:r w:rsidR="00A30B38" w:rsidRPr="00155114">
        <w:rPr>
          <w:rFonts w:cs="Times New Roman"/>
          <w:szCs w:val="24"/>
          <w:lang w:val="es-MX"/>
        </w:rPr>
        <w:t>neta</w:t>
      </w:r>
      <w:r w:rsidR="002660EE" w:rsidRPr="00155114">
        <w:rPr>
          <w:rFonts w:cs="Times New Roman"/>
          <w:szCs w:val="24"/>
          <w:lang w:val="es-MX"/>
        </w:rPr>
        <w:t xml:space="preserve"> (positiva o negativa)</w:t>
      </w:r>
      <w:r w:rsidR="00A30B38" w:rsidRPr="00155114">
        <w:rPr>
          <w:rFonts w:cs="Times New Roman"/>
          <w:szCs w:val="24"/>
          <w:lang w:val="es-MX"/>
        </w:rPr>
        <w:t xml:space="preserve"> </w:t>
      </w:r>
      <w:r w:rsidR="00826A3D" w:rsidRPr="00155114">
        <w:rPr>
          <w:rFonts w:cs="Times New Roman"/>
          <w:szCs w:val="24"/>
          <w:lang w:val="es-MX"/>
        </w:rPr>
        <w:t>resultante de</w:t>
      </w:r>
      <w:r w:rsidR="00A30B38" w:rsidRPr="00155114">
        <w:rPr>
          <w:rFonts w:cs="Times New Roman"/>
          <w:szCs w:val="24"/>
          <w:lang w:val="es-MX"/>
        </w:rPr>
        <w:t xml:space="preserve"> cada </w:t>
      </w:r>
      <w:r w:rsidRPr="00155114">
        <w:rPr>
          <w:rFonts w:cs="Times New Roman"/>
          <w:szCs w:val="24"/>
          <w:lang w:val="es-MX"/>
        </w:rPr>
        <w:t>una de ellas;</w:t>
      </w:r>
      <w:r w:rsidR="00A00164" w:rsidRPr="00155114">
        <w:rPr>
          <w:rFonts w:cs="Times New Roman"/>
          <w:szCs w:val="24"/>
          <w:lang w:val="es-MX"/>
        </w:rPr>
        <w:t xml:space="preserve"> el envío de los </w:t>
      </w:r>
      <w:r w:rsidR="002660EE" w:rsidRPr="00155114">
        <w:rPr>
          <w:rFonts w:cs="Times New Roman"/>
          <w:szCs w:val="24"/>
          <w:lang w:val="es-MX"/>
        </w:rPr>
        <w:t xml:space="preserve"> recursos </w:t>
      </w:r>
      <w:r w:rsidR="000C47DF" w:rsidRPr="00155114">
        <w:rPr>
          <w:rFonts w:cs="Times New Roman"/>
          <w:szCs w:val="24"/>
          <w:lang w:val="es-MX"/>
        </w:rPr>
        <w:t>a</w:t>
      </w:r>
      <w:r w:rsidR="00F57AC2" w:rsidRPr="00155114">
        <w:rPr>
          <w:rFonts w:cs="Times New Roman"/>
          <w:szCs w:val="24"/>
          <w:lang w:val="es-MX"/>
        </w:rPr>
        <w:t xml:space="preserve"> las cuentas liquidadoras que se encuentran en el </w:t>
      </w:r>
      <w:r w:rsidR="000C47DF" w:rsidRPr="00155114">
        <w:rPr>
          <w:rFonts w:cs="Times New Roman"/>
          <w:szCs w:val="24"/>
          <w:lang w:val="es-MX"/>
        </w:rPr>
        <w:t>Banco Central de Costa Rica</w:t>
      </w:r>
      <w:r w:rsidR="00C9117E" w:rsidRPr="00155114">
        <w:rPr>
          <w:rFonts w:cs="Times New Roman"/>
          <w:szCs w:val="24"/>
          <w:lang w:val="es-MX"/>
        </w:rPr>
        <w:t xml:space="preserve">; </w:t>
      </w:r>
      <w:r w:rsidR="004352BE" w:rsidRPr="00155114">
        <w:rPr>
          <w:rFonts w:cs="Times New Roman"/>
          <w:szCs w:val="24"/>
          <w:lang w:val="es-MX"/>
        </w:rPr>
        <w:t>la liquidación y compensación</w:t>
      </w:r>
      <w:r w:rsidR="00C9117E" w:rsidRPr="00155114">
        <w:rPr>
          <w:rFonts w:cs="Times New Roman"/>
          <w:szCs w:val="24"/>
        </w:rPr>
        <w:t xml:space="preserve"> </w:t>
      </w:r>
      <w:r w:rsidR="00F274C4" w:rsidRPr="00155114">
        <w:rPr>
          <w:rFonts w:cs="Times New Roman"/>
          <w:szCs w:val="24"/>
        </w:rPr>
        <w:t>que verifica el SINPE;</w:t>
      </w:r>
      <w:r w:rsidR="00F274C4" w:rsidRPr="00155114">
        <w:rPr>
          <w:rFonts w:cs="Times New Roman"/>
          <w:szCs w:val="24"/>
          <w:lang w:val="es-MX"/>
        </w:rPr>
        <w:t xml:space="preserve"> </w:t>
      </w:r>
      <w:r w:rsidR="008A0020" w:rsidRPr="00155114">
        <w:rPr>
          <w:rFonts w:cs="Times New Roman"/>
          <w:szCs w:val="24"/>
          <w:lang w:val="es-MX"/>
        </w:rPr>
        <w:t>y</w:t>
      </w:r>
      <w:r w:rsidR="00915D26" w:rsidRPr="00155114">
        <w:rPr>
          <w:rFonts w:cs="Times New Roman"/>
          <w:szCs w:val="24"/>
          <w:lang w:val="es-MX"/>
        </w:rPr>
        <w:t>,</w:t>
      </w:r>
      <w:r w:rsidR="004352BE" w:rsidRPr="00155114">
        <w:rPr>
          <w:rFonts w:cs="Times New Roman"/>
          <w:szCs w:val="24"/>
          <w:lang w:val="es-MX"/>
        </w:rPr>
        <w:t xml:space="preserve"> finalmente</w:t>
      </w:r>
      <w:r w:rsidR="008A3AD0" w:rsidRPr="00155114">
        <w:rPr>
          <w:rFonts w:cs="Times New Roman"/>
          <w:szCs w:val="24"/>
          <w:lang w:val="es-MX"/>
        </w:rPr>
        <w:t>,</w:t>
      </w:r>
      <w:r w:rsidR="004352BE" w:rsidRPr="00155114">
        <w:rPr>
          <w:rFonts w:cs="Times New Roman"/>
          <w:szCs w:val="24"/>
          <w:lang w:val="es-MX"/>
        </w:rPr>
        <w:t xml:space="preserve"> </w:t>
      </w:r>
      <w:r w:rsidR="00F274C4" w:rsidRPr="00155114">
        <w:rPr>
          <w:rFonts w:cs="Times New Roman"/>
          <w:szCs w:val="24"/>
          <w:lang w:val="es-MX"/>
        </w:rPr>
        <w:t xml:space="preserve">el </w:t>
      </w:r>
      <w:r w:rsidR="004352BE" w:rsidRPr="00155114">
        <w:rPr>
          <w:rFonts w:cs="Times New Roman"/>
          <w:szCs w:val="24"/>
          <w:lang w:val="es-MX"/>
        </w:rPr>
        <w:t>traslad</w:t>
      </w:r>
      <w:r w:rsidR="00F274C4" w:rsidRPr="00155114">
        <w:rPr>
          <w:rFonts w:cs="Times New Roman"/>
          <w:szCs w:val="24"/>
          <w:lang w:val="es-MX"/>
        </w:rPr>
        <w:t>o de</w:t>
      </w:r>
      <w:r w:rsidR="004352BE" w:rsidRPr="00155114">
        <w:rPr>
          <w:rFonts w:cs="Times New Roman"/>
          <w:szCs w:val="24"/>
          <w:lang w:val="es-MX"/>
        </w:rPr>
        <w:t xml:space="preserve"> los </w:t>
      </w:r>
      <w:r w:rsidR="008A0020" w:rsidRPr="00155114">
        <w:rPr>
          <w:rFonts w:cs="Times New Roman"/>
          <w:szCs w:val="24"/>
          <w:lang w:val="es-MX"/>
        </w:rPr>
        <w:t xml:space="preserve">correspondientes </w:t>
      </w:r>
      <w:r w:rsidR="004352BE" w:rsidRPr="00155114">
        <w:rPr>
          <w:rFonts w:cs="Times New Roman"/>
          <w:szCs w:val="24"/>
          <w:lang w:val="es-MX"/>
        </w:rPr>
        <w:t>recursos hacia las cuentas individuales de los trabajadores</w:t>
      </w:r>
      <w:r w:rsidR="009E4B01" w:rsidRPr="00155114">
        <w:rPr>
          <w:rFonts w:cs="Times New Roman"/>
          <w:szCs w:val="24"/>
          <w:lang w:val="es-MX"/>
        </w:rPr>
        <w:t>.</w:t>
      </w:r>
    </w:p>
    <w:p w14:paraId="53EE5593" w14:textId="77777777" w:rsidR="007A3C77" w:rsidRPr="00155114" w:rsidRDefault="007A3C77" w:rsidP="007A3C77">
      <w:pPr>
        <w:pStyle w:val="Prrafodelista"/>
        <w:spacing w:line="240" w:lineRule="auto"/>
        <w:jc w:val="both"/>
        <w:rPr>
          <w:rFonts w:eastAsia="Calibri" w:cs="Times New Roman"/>
          <w:szCs w:val="24"/>
        </w:rPr>
      </w:pPr>
    </w:p>
    <w:p w14:paraId="5949CC28" w14:textId="69D397EE" w:rsidR="004E1765" w:rsidRPr="00155114" w:rsidRDefault="00197301" w:rsidP="00DF277C">
      <w:pPr>
        <w:pStyle w:val="Prrafodelista"/>
        <w:numPr>
          <w:ilvl w:val="0"/>
          <w:numId w:val="1"/>
        </w:numPr>
        <w:spacing w:line="240" w:lineRule="auto"/>
        <w:jc w:val="both"/>
        <w:rPr>
          <w:rFonts w:cs="Times New Roman"/>
          <w:szCs w:val="24"/>
          <w:lang w:val="es-MX"/>
        </w:rPr>
      </w:pPr>
      <w:r w:rsidRPr="00155114">
        <w:rPr>
          <w:rFonts w:cs="Times New Roman"/>
          <w:szCs w:val="24"/>
          <w:lang w:val="es-MX"/>
        </w:rPr>
        <w:t>Con el propósito de que l</w:t>
      </w:r>
      <w:r w:rsidR="00132166" w:rsidRPr="00155114">
        <w:rPr>
          <w:rFonts w:cs="Times New Roman"/>
          <w:szCs w:val="24"/>
          <w:lang w:val="es-MX"/>
        </w:rPr>
        <w:t xml:space="preserve">as </w:t>
      </w:r>
      <w:r w:rsidR="00C11B8A" w:rsidRPr="00155114">
        <w:rPr>
          <w:rFonts w:cs="Times New Roman"/>
          <w:szCs w:val="24"/>
          <w:lang w:val="es-MX"/>
        </w:rPr>
        <w:t>o</w:t>
      </w:r>
      <w:r w:rsidR="00132166" w:rsidRPr="00155114">
        <w:rPr>
          <w:rFonts w:cs="Times New Roman"/>
          <w:szCs w:val="24"/>
          <w:lang w:val="es-MX"/>
        </w:rPr>
        <w:t xml:space="preserve">peradoras </w:t>
      </w:r>
      <w:r w:rsidRPr="00155114">
        <w:rPr>
          <w:rFonts w:cs="Times New Roman"/>
          <w:szCs w:val="24"/>
          <w:lang w:val="es-MX"/>
        </w:rPr>
        <w:t>puedan</w:t>
      </w:r>
      <w:r w:rsidR="0021549B" w:rsidRPr="00155114">
        <w:rPr>
          <w:rFonts w:cs="Times New Roman"/>
          <w:szCs w:val="24"/>
          <w:lang w:val="es-MX"/>
        </w:rPr>
        <w:t xml:space="preserve"> gestionar de forma adecuada y oportuna el riesgo de liquidez resultante del proceso de traslados</w:t>
      </w:r>
      <w:r w:rsidR="00AC7532" w:rsidRPr="00155114">
        <w:rPr>
          <w:rFonts w:cs="Times New Roman"/>
          <w:szCs w:val="24"/>
          <w:lang w:val="es-MX"/>
        </w:rPr>
        <w:t xml:space="preserve"> de </w:t>
      </w:r>
      <w:r w:rsidR="004956E9" w:rsidRPr="00155114">
        <w:rPr>
          <w:rFonts w:cs="Times New Roman"/>
          <w:szCs w:val="24"/>
          <w:lang w:val="es-MX"/>
        </w:rPr>
        <w:t xml:space="preserve">los </w:t>
      </w:r>
      <w:r w:rsidR="00AC7532" w:rsidRPr="00155114">
        <w:rPr>
          <w:rFonts w:cs="Times New Roman"/>
          <w:szCs w:val="24"/>
          <w:lang w:val="es-MX"/>
        </w:rPr>
        <w:t xml:space="preserve">recursos, </w:t>
      </w:r>
      <w:r w:rsidR="00C11B8A" w:rsidRPr="00155114">
        <w:rPr>
          <w:rFonts w:cs="Times New Roman"/>
          <w:szCs w:val="24"/>
          <w:lang w:val="es-MX"/>
        </w:rPr>
        <w:t>las</w:t>
      </w:r>
      <w:r w:rsidR="00AC7532" w:rsidRPr="00155114">
        <w:rPr>
          <w:rFonts w:cs="Times New Roman"/>
          <w:szCs w:val="24"/>
          <w:lang w:val="es-MX"/>
        </w:rPr>
        <w:t xml:space="preserve"> entidades </w:t>
      </w:r>
      <w:r w:rsidR="00132166" w:rsidRPr="00155114">
        <w:rPr>
          <w:rFonts w:cs="Times New Roman"/>
          <w:szCs w:val="24"/>
          <w:lang w:val="es-MX"/>
        </w:rPr>
        <w:t>reciben</w:t>
      </w:r>
      <w:r w:rsidR="00AC7532" w:rsidRPr="00155114">
        <w:rPr>
          <w:rFonts w:cs="Times New Roman"/>
          <w:szCs w:val="24"/>
          <w:lang w:val="es-MX"/>
        </w:rPr>
        <w:t>,</w:t>
      </w:r>
      <w:r w:rsidR="00132166" w:rsidRPr="00155114">
        <w:rPr>
          <w:rFonts w:cs="Times New Roman"/>
          <w:szCs w:val="24"/>
          <w:lang w:val="es-MX"/>
        </w:rPr>
        <w:t xml:space="preserve"> por parte del Sistema Centralizado de Recaudación</w:t>
      </w:r>
      <w:r w:rsidR="00AC7532" w:rsidRPr="00155114">
        <w:rPr>
          <w:rFonts w:cs="Times New Roman"/>
          <w:szCs w:val="24"/>
          <w:lang w:val="es-MX"/>
        </w:rPr>
        <w:t>,</w:t>
      </w:r>
      <w:r w:rsidR="00132166" w:rsidRPr="00155114">
        <w:rPr>
          <w:rFonts w:cs="Times New Roman"/>
          <w:szCs w:val="24"/>
          <w:lang w:val="es-MX"/>
        </w:rPr>
        <w:t xml:space="preserve"> el detalle de las operaciones (traslados) entrantes y salientes, </w:t>
      </w:r>
      <w:r w:rsidR="00D8637F" w:rsidRPr="00155114">
        <w:rPr>
          <w:rFonts w:cs="Times New Roman"/>
          <w:szCs w:val="24"/>
          <w:lang w:val="es-MX"/>
        </w:rPr>
        <w:t>información que les</w:t>
      </w:r>
      <w:r w:rsidR="00CF2074" w:rsidRPr="00155114">
        <w:rPr>
          <w:rFonts w:cs="Times New Roman"/>
          <w:szCs w:val="24"/>
          <w:lang w:val="es-MX"/>
        </w:rPr>
        <w:t xml:space="preserve"> </w:t>
      </w:r>
      <w:r w:rsidR="00132166" w:rsidRPr="00155114">
        <w:rPr>
          <w:rFonts w:cs="Times New Roman"/>
          <w:szCs w:val="24"/>
          <w:lang w:val="es-MX"/>
        </w:rPr>
        <w:t xml:space="preserve">permite planificar el flujo de la liquidez que se requerirá para </w:t>
      </w:r>
      <w:r w:rsidR="00CD2F06" w:rsidRPr="00155114">
        <w:rPr>
          <w:rFonts w:cs="Times New Roman"/>
          <w:szCs w:val="24"/>
          <w:lang w:val="es-MX"/>
        </w:rPr>
        <w:t xml:space="preserve">realizar </w:t>
      </w:r>
      <w:r w:rsidR="00132166" w:rsidRPr="00155114">
        <w:rPr>
          <w:rFonts w:cs="Times New Roman"/>
          <w:szCs w:val="24"/>
          <w:lang w:val="es-MX"/>
        </w:rPr>
        <w:t xml:space="preserve">el ciclo de </w:t>
      </w:r>
      <w:r w:rsidR="00CD6170" w:rsidRPr="00155114">
        <w:rPr>
          <w:rFonts w:cs="Times New Roman"/>
          <w:szCs w:val="24"/>
          <w:lang w:val="es-MX"/>
        </w:rPr>
        <w:t>operac</w:t>
      </w:r>
      <w:r w:rsidR="00CF2074" w:rsidRPr="00155114">
        <w:rPr>
          <w:rFonts w:cs="Times New Roman"/>
          <w:szCs w:val="24"/>
          <w:lang w:val="es-MX"/>
        </w:rPr>
        <w:t>ión</w:t>
      </w:r>
      <w:r w:rsidR="00132166" w:rsidRPr="00155114">
        <w:rPr>
          <w:rFonts w:cs="Times New Roman"/>
          <w:szCs w:val="24"/>
          <w:lang w:val="es-MX"/>
        </w:rPr>
        <w:t xml:space="preserve"> y </w:t>
      </w:r>
      <w:r w:rsidR="0075106D" w:rsidRPr="00155114">
        <w:rPr>
          <w:rFonts w:cs="Times New Roman"/>
          <w:szCs w:val="24"/>
          <w:lang w:val="es-MX"/>
        </w:rPr>
        <w:t>l</w:t>
      </w:r>
      <w:r w:rsidR="00132166" w:rsidRPr="00155114">
        <w:rPr>
          <w:rFonts w:cs="Times New Roman"/>
          <w:szCs w:val="24"/>
          <w:lang w:val="es-MX"/>
        </w:rPr>
        <w:t>iquidación</w:t>
      </w:r>
      <w:r w:rsidR="00537559" w:rsidRPr="00155114">
        <w:rPr>
          <w:rFonts w:cs="Times New Roman"/>
          <w:szCs w:val="24"/>
        </w:rPr>
        <w:t xml:space="preserve"> </w:t>
      </w:r>
      <w:r w:rsidR="00537559" w:rsidRPr="00155114">
        <w:rPr>
          <w:rFonts w:cs="Times New Roman"/>
          <w:szCs w:val="24"/>
          <w:lang w:val="es-MX"/>
        </w:rPr>
        <w:t xml:space="preserve">del SEC para cada semana. </w:t>
      </w:r>
    </w:p>
    <w:p w14:paraId="16877E42" w14:textId="77777777" w:rsidR="00DF277C" w:rsidRPr="00155114" w:rsidRDefault="00DF277C" w:rsidP="00DF277C">
      <w:pPr>
        <w:spacing w:line="240" w:lineRule="auto"/>
        <w:jc w:val="both"/>
        <w:rPr>
          <w:rFonts w:cs="Times New Roman"/>
          <w:szCs w:val="24"/>
          <w:lang w:val="es-MX"/>
        </w:rPr>
      </w:pPr>
    </w:p>
    <w:p w14:paraId="6AB04CE5" w14:textId="6984D4E9" w:rsidR="00A80FA2" w:rsidRPr="00155114" w:rsidRDefault="005A0647" w:rsidP="0024308D">
      <w:pPr>
        <w:pStyle w:val="Prrafodelista"/>
        <w:numPr>
          <w:ilvl w:val="0"/>
          <w:numId w:val="1"/>
        </w:numPr>
        <w:spacing w:line="240" w:lineRule="auto"/>
        <w:jc w:val="both"/>
        <w:rPr>
          <w:rFonts w:cs="Times New Roman"/>
          <w:szCs w:val="24"/>
          <w:lang w:val="es-MX"/>
        </w:rPr>
      </w:pPr>
      <w:r w:rsidRPr="00155114">
        <w:rPr>
          <w:rFonts w:cs="Times New Roman"/>
          <w:szCs w:val="24"/>
          <w:lang w:val="es-MX"/>
        </w:rPr>
        <w:t xml:space="preserve">A fin de </w:t>
      </w:r>
      <w:r w:rsidR="0024308D" w:rsidRPr="00155114">
        <w:rPr>
          <w:rFonts w:cs="Times New Roman"/>
          <w:szCs w:val="24"/>
          <w:lang w:val="es-MX"/>
        </w:rPr>
        <w:t>coadyuvar</w:t>
      </w:r>
      <w:r w:rsidR="00F40114" w:rsidRPr="00155114">
        <w:rPr>
          <w:rFonts w:cs="Times New Roman"/>
          <w:szCs w:val="24"/>
          <w:lang w:val="es-MX"/>
        </w:rPr>
        <w:t xml:space="preserve"> </w:t>
      </w:r>
      <w:r w:rsidR="0024308D" w:rsidRPr="00155114">
        <w:rPr>
          <w:rFonts w:cs="Times New Roman"/>
          <w:szCs w:val="24"/>
          <w:lang w:val="es-MX"/>
        </w:rPr>
        <w:t>a</w:t>
      </w:r>
      <w:r w:rsidR="00D45B72" w:rsidRPr="00155114">
        <w:rPr>
          <w:rFonts w:cs="Times New Roman"/>
          <w:szCs w:val="24"/>
          <w:lang w:val="es-MX"/>
        </w:rPr>
        <w:t xml:space="preserve"> la mitigación del riesgo de liquidez</w:t>
      </w:r>
      <w:r w:rsidRPr="00155114">
        <w:rPr>
          <w:rFonts w:cs="Times New Roman"/>
          <w:szCs w:val="24"/>
          <w:lang w:val="es-MX"/>
        </w:rPr>
        <w:t xml:space="preserve"> que puede producirse con motivo de los traslados</w:t>
      </w:r>
      <w:r w:rsidR="00D45B72" w:rsidRPr="00155114">
        <w:rPr>
          <w:rFonts w:cs="Times New Roman"/>
          <w:szCs w:val="24"/>
          <w:lang w:val="es-MX"/>
        </w:rPr>
        <w:t xml:space="preserve">, </w:t>
      </w:r>
      <w:r w:rsidR="008A3AD0" w:rsidRPr="00155114">
        <w:rPr>
          <w:rFonts w:cs="Times New Roman"/>
          <w:szCs w:val="24"/>
          <w:lang w:val="es-MX"/>
        </w:rPr>
        <w:t>l</w:t>
      </w:r>
      <w:r w:rsidR="00D45B72" w:rsidRPr="00155114">
        <w:rPr>
          <w:rFonts w:cs="Times New Roman"/>
          <w:szCs w:val="24"/>
          <w:lang w:val="es-MX"/>
        </w:rPr>
        <w:t xml:space="preserve">a Superintendencia </w:t>
      </w:r>
      <w:r w:rsidR="008A3AD0" w:rsidRPr="00155114">
        <w:rPr>
          <w:rFonts w:cs="Times New Roman"/>
          <w:szCs w:val="24"/>
          <w:lang w:val="es-MX"/>
        </w:rPr>
        <w:t>de Pensiones</w:t>
      </w:r>
      <w:r w:rsidR="004E1765" w:rsidRPr="00155114">
        <w:rPr>
          <w:rFonts w:cs="Times New Roman"/>
          <w:szCs w:val="24"/>
          <w:lang w:val="es-MX"/>
        </w:rPr>
        <w:t>,</w:t>
      </w:r>
      <w:r w:rsidR="008A3AD0" w:rsidRPr="00155114">
        <w:rPr>
          <w:rFonts w:cs="Times New Roman"/>
          <w:szCs w:val="24"/>
          <w:lang w:val="es-MX"/>
        </w:rPr>
        <w:t xml:space="preserve"> </w:t>
      </w:r>
      <w:r w:rsidR="00D45B72" w:rsidRPr="00155114">
        <w:rPr>
          <w:rFonts w:cs="Times New Roman"/>
          <w:szCs w:val="24"/>
          <w:lang w:val="es-MX"/>
        </w:rPr>
        <w:t xml:space="preserve">mediante el oficio </w:t>
      </w:r>
      <w:r w:rsidR="008A3AD0" w:rsidRPr="00155114">
        <w:rPr>
          <w:rFonts w:cs="Times New Roman"/>
          <w:szCs w:val="24"/>
          <w:lang w:val="es-MX"/>
        </w:rPr>
        <w:t>SP-</w:t>
      </w:r>
      <w:r w:rsidR="00D45B72" w:rsidRPr="00155114">
        <w:rPr>
          <w:rFonts w:cs="Times New Roman"/>
          <w:szCs w:val="24"/>
          <w:lang w:val="es-MX"/>
        </w:rPr>
        <w:lastRenderedPageBreak/>
        <w:t>1058-2018 del 4 de diciembre del 2018</w:t>
      </w:r>
      <w:r w:rsidR="00F40114" w:rsidRPr="00155114">
        <w:rPr>
          <w:rFonts w:cs="Times New Roman"/>
          <w:szCs w:val="24"/>
          <w:lang w:val="es-MX"/>
        </w:rPr>
        <w:t xml:space="preserve">, </w:t>
      </w:r>
      <w:r w:rsidR="000835A7" w:rsidRPr="00155114">
        <w:rPr>
          <w:rFonts w:cs="Times New Roman"/>
          <w:szCs w:val="24"/>
          <w:lang w:val="es-MX"/>
        </w:rPr>
        <w:t>incorporó</w:t>
      </w:r>
      <w:r w:rsidR="00D45B72" w:rsidRPr="00155114">
        <w:rPr>
          <w:rFonts w:cs="Times New Roman"/>
          <w:szCs w:val="24"/>
          <w:lang w:val="es-MX"/>
        </w:rPr>
        <w:t xml:space="preserve"> un motivo de rechazo adicional </w:t>
      </w:r>
      <w:r w:rsidR="00861E95" w:rsidRPr="00155114">
        <w:rPr>
          <w:rFonts w:cs="Times New Roman"/>
          <w:szCs w:val="24"/>
          <w:lang w:val="es-MX"/>
        </w:rPr>
        <w:t>a</w:t>
      </w:r>
      <w:r w:rsidR="00D45B72" w:rsidRPr="00155114">
        <w:rPr>
          <w:rFonts w:cs="Times New Roman"/>
          <w:szCs w:val="24"/>
          <w:lang w:val="es-MX"/>
        </w:rPr>
        <w:t>l documento de especificaciones técnicas del SEC</w:t>
      </w:r>
      <w:r w:rsidR="004E1765" w:rsidRPr="00155114">
        <w:rPr>
          <w:rFonts w:cs="Times New Roman"/>
          <w:szCs w:val="24"/>
          <w:lang w:val="es-MX"/>
        </w:rPr>
        <w:t xml:space="preserve"> denominad</w:t>
      </w:r>
      <w:r w:rsidR="00226B4A" w:rsidRPr="00155114">
        <w:rPr>
          <w:rFonts w:cs="Times New Roman"/>
          <w:szCs w:val="24"/>
          <w:lang w:val="es-MX"/>
        </w:rPr>
        <w:t>o</w:t>
      </w:r>
      <w:r w:rsidR="00D45B72" w:rsidRPr="00155114">
        <w:rPr>
          <w:rFonts w:cs="Times New Roman"/>
          <w:szCs w:val="24"/>
          <w:lang w:val="es-MX"/>
        </w:rPr>
        <w:t xml:space="preserve"> </w:t>
      </w:r>
      <w:r w:rsidR="00D45B72" w:rsidRPr="00155114">
        <w:rPr>
          <w:rFonts w:cs="Times New Roman"/>
          <w:i/>
          <w:iCs/>
          <w:szCs w:val="24"/>
          <w:lang w:val="es-MX"/>
        </w:rPr>
        <w:t>“3-Insuficiencia de liquidez”</w:t>
      </w:r>
      <w:r w:rsidR="001A2F7B" w:rsidRPr="00155114">
        <w:rPr>
          <w:rFonts w:cs="Times New Roman"/>
          <w:szCs w:val="24"/>
          <w:lang w:val="es-MX"/>
        </w:rPr>
        <w:t>. D</w:t>
      </w:r>
      <w:r w:rsidR="00D45B72" w:rsidRPr="00155114">
        <w:rPr>
          <w:rFonts w:cs="Times New Roman"/>
          <w:szCs w:val="24"/>
          <w:lang w:val="es-MX"/>
        </w:rPr>
        <w:t>icha opción permite excluir una o varias operaciones (traslados)</w:t>
      </w:r>
      <w:r w:rsidR="00251BDC" w:rsidRPr="00155114">
        <w:rPr>
          <w:rFonts w:cs="Times New Roman"/>
          <w:szCs w:val="24"/>
          <w:lang w:val="es-MX"/>
        </w:rPr>
        <w:t>,</w:t>
      </w:r>
      <w:r w:rsidR="00D45B72" w:rsidRPr="00155114">
        <w:rPr>
          <w:rFonts w:cs="Times New Roman"/>
          <w:szCs w:val="24"/>
          <w:lang w:val="es-MX"/>
        </w:rPr>
        <w:t xml:space="preserve"> </w:t>
      </w:r>
      <w:r w:rsidR="003B2385" w:rsidRPr="00155114">
        <w:rPr>
          <w:rFonts w:cs="Times New Roman"/>
          <w:szCs w:val="24"/>
          <w:lang w:val="es-MX"/>
        </w:rPr>
        <w:t>de</w:t>
      </w:r>
      <w:r w:rsidR="00D45B72" w:rsidRPr="00155114">
        <w:rPr>
          <w:rFonts w:cs="Times New Roman"/>
          <w:szCs w:val="24"/>
          <w:lang w:val="es-MX"/>
        </w:rPr>
        <w:t xml:space="preserve"> previo o el mismo día del ciclo</w:t>
      </w:r>
      <w:r w:rsidR="00251BDC" w:rsidRPr="00155114">
        <w:rPr>
          <w:rFonts w:cs="Times New Roman"/>
          <w:szCs w:val="24"/>
          <w:lang w:val="es-MX"/>
        </w:rPr>
        <w:t>,</w:t>
      </w:r>
      <w:r w:rsidR="00D45B72" w:rsidRPr="00155114">
        <w:rPr>
          <w:rFonts w:cs="Times New Roman"/>
          <w:szCs w:val="24"/>
          <w:lang w:val="es-MX"/>
        </w:rPr>
        <w:t xml:space="preserve"> </w:t>
      </w:r>
      <w:r w:rsidR="00251BDC" w:rsidRPr="00155114">
        <w:rPr>
          <w:rFonts w:cs="Times New Roman"/>
          <w:szCs w:val="24"/>
          <w:lang w:val="es-MX"/>
        </w:rPr>
        <w:t>cuando</w:t>
      </w:r>
      <w:r w:rsidR="000835A7" w:rsidRPr="00155114">
        <w:rPr>
          <w:rFonts w:cs="Times New Roman"/>
          <w:szCs w:val="24"/>
          <w:lang w:val="es-MX"/>
        </w:rPr>
        <w:t xml:space="preserve"> </w:t>
      </w:r>
      <w:r w:rsidR="001317F6" w:rsidRPr="00155114">
        <w:rPr>
          <w:rFonts w:cs="Times New Roman"/>
          <w:szCs w:val="24"/>
          <w:lang w:val="es-MX"/>
        </w:rPr>
        <w:t xml:space="preserve">las mismas </w:t>
      </w:r>
      <w:r w:rsidR="00D45B72" w:rsidRPr="00155114">
        <w:rPr>
          <w:rFonts w:cs="Times New Roman"/>
          <w:szCs w:val="24"/>
          <w:lang w:val="es-MX"/>
        </w:rPr>
        <w:t xml:space="preserve">puedan comprometer la liquidez del </w:t>
      </w:r>
      <w:r w:rsidR="001317F6" w:rsidRPr="00155114">
        <w:rPr>
          <w:rFonts w:cs="Times New Roman"/>
          <w:szCs w:val="24"/>
          <w:lang w:val="es-MX"/>
        </w:rPr>
        <w:t xml:space="preserve">correspondiente </w:t>
      </w:r>
      <w:r w:rsidR="00D45B72" w:rsidRPr="00155114">
        <w:rPr>
          <w:rFonts w:cs="Times New Roman"/>
          <w:szCs w:val="24"/>
          <w:lang w:val="es-MX"/>
        </w:rPr>
        <w:t>fondo</w:t>
      </w:r>
      <w:r w:rsidR="00862827" w:rsidRPr="00155114">
        <w:rPr>
          <w:rFonts w:cs="Times New Roman"/>
          <w:szCs w:val="24"/>
          <w:lang w:val="es-MX"/>
        </w:rPr>
        <w:t>, requerida</w:t>
      </w:r>
      <w:r w:rsidR="005C249D" w:rsidRPr="00155114">
        <w:rPr>
          <w:rFonts w:cs="Times New Roman"/>
          <w:szCs w:val="24"/>
          <w:lang w:val="es-MX"/>
        </w:rPr>
        <w:t xml:space="preserve"> para llevar a cabo los traslados</w:t>
      </w:r>
      <w:r w:rsidR="009E7946" w:rsidRPr="00155114">
        <w:rPr>
          <w:rFonts w:cs="Times New Roman"/>
          <w:szCs w:val="24"/>
          <w:lang w:val="es-MX"/>
        </w:rPr>
        <w:t xml:space="preserve"> de ese ciclo.</w:t>
      </w:r>
    </w:p>
    <w:p w14:paraId="38052CCC" w14:textId="77777777" w:rsidR="007A3C77" w:rsidRPr="00155114" w:rsidRDefault="007A3C77" w:rsidP="00277429">
      <w:pPr>
        <w:pStyle w:val="Prrafodelista"/>
        <w:spacing w:line="240" w:lineRule="auto"/>
        <w:rPr>
          <w:rFonts w:eastAsia="Calibri" w:cs="Times New Roman"/>
          <w:szCs w:val="24"/>
        </w:rPr>
      </w:pPr>
    </w:p>
    <w:p w14:paraId="0C38BD09" w14:textId="6814B111" w:rsidR="000835A7" w:rsidRPr="00155114" w:rsidRDefault="00920EC8" w:rsidP="005B4A6E">
      <w:pPr>
        <w:pStyle w:val="Prrafodelista"/>
        <w:numPr>
          <w:ilvl w:val="0"/>
          <w:numId w:val="1"/>
        </w:numPr>
        <w:spacing w:line="240" w:lineRule="auto"/>
        <w:jc w:val="both"/>
        <w:rPr>
          <w:rFonts w:cs="Times New Roman"/>
          <w:szCs w:val="24"/>
          <w:lang w:val="es-MX"/>
        </w:rPr>
      </w:pPr>
      <w:r w:rsidRPr="00155114">
        <w:rPr>
          <w:rFonts w:cs="Times New Roman"/>
          <w:szCs w:val="24"/>
          <w:lang w:val="es-MX"/>
        </w:rPr>
        <w:t xml:space="preserve">No obstante lo anterior, </w:t>
      </w:r>
      <w:r w:rsidR="00185A46" w:rsidRPr="00155114">
        <w:rPr>
          <w:rFonts w:cs="Times New Roman"/>
          <w:szCs w:val="24"/>
          <w:lang w:val="es-MX"/>
        </w:rPr>
        <w:t xml:space="preserve"> l</w:t>
      </w:r>
      <w:r w:rsidR="00416B8B" w:rsidRPr="00155114">
        <w:rPr>
          <w:rFonts w:cs="Times New Roman"/>
          <w:szCs w:val="24"/>
          <w:lang w:val="es-MX"/>
        </w:rPr>
        <w:t xml:space="preserve">a fase 5 </w:t>
      </w:r>
      <w:r w:rsidR="00E915EB" w:rsidRPr="00155114">
        <w:rPr>
          <w:rFonts w:cs="Times New Roman"/>
          <w:szCs w:val="24"/>
          <w:lang w:val="es-MX"/>
        </w:rPr>
        <w:t xml:space="preserve">del ciclo  de Operación y Liquidación </w:t>
      </w:r>
      <w:r w:rsidR="00416B8B" w:rsidRPr="00155114">
        <w:rPr>
          <w:rFonts w:cs="Times New Roman"/>
          <w:szCs w:val="24"/>
          <w:lang w:val="es-MX"/>
        </w:rPr>
        <w:t>denominada</w:t>
      </w:r>
      <w:r w:rsidR="00416B8B" w:rsidRPr="00155114">
        <w:rPr>
          <w:rFonts w:cs="Times New Roman"/>
          <w:b/>
          <w:bCs/>
          <w:szCs w:val="24"/>
          <w:lang w:val="es-MX"/>
        </w:rPr>
        <w:t xml:space="preserve"> </w:t>
      </w:r>
      <w:r w:rsidR="00416B8B" w:rsidRPr="00155114">
        <w:rPr>
          <w:rFonts w:cs="Times New Roman"/>
          <w:szCs w:val="24"/>
          <w:lang w:val="es-MX"/>
        </w:rPr>
        <w:t>“</w:t>
      </w:r>
      <w:r w:rsidR="00416B8B" w:rsidRPr="00155114">
        <w:rPr>
          <w:rFonts w:cs="Times New Roman"/>
          <w:i/>
          <w:iCs/>
          <w:szCs w:val="24"/>
          <w:lang w:val="es-MX"/>
        </w:rPr>
        <w:t>Trasmisión electrónica de rechazos</w:t>
      </w:r>
      <w:r w:rsidR="00416B8B" w:rsidRPr="00155114">
        <w:rPr>
          <w:rFonts w:cs="Times New Roman"/>
          <w:szCs w:val="24"/>
          <w:lang w:val="es-MX"/>
        </w:rPr>
        <w:t>”</w:t>
      </w:r>
      <w:r w:rsidR="004D3BAE" w:rsidRPr="00155114">
        <w:rPr>
          <w:rFonts w:cs="Times New Roman"/>
          <w:szCs w:val="24"/>
          <w:lang w:val="es-MX"/>
        </w:rPr>
        <w:t>,</w:t>
      </w:r>
      <w:r w:rsidR="00416B8B" w:rsidRPr="00155114">
        <w:rPr>
          <w:rFonts w:cs="Times New Roman"/>
          <w:szCs w:val="24"/>
          <w:lang w:val="es-MX"/>
        </w:rPr>
        <w:t xml:space="preserve"> </w:t>
      </w:r>
      <w:r w:rsidR="005B4A6E" w:rsidRPr="00155114">
        <w:rPr>
          <w:rFonts w:cs="Times New Roman"/>
          <w:szCs w:val="24"/>
          <w:lang w:val="es-MX"/>
        </w:rPr>
        <w:t xml:space="preserve">adicionalmente </w:t>
      </w:r>
      <w:r w:rsidR="00416B8B" w:rsidRPr="00155114">
        <w:rPr>
          <w:rFonts w:cs="Times New Roman"/>
          <w:szCs w:val="24"/>
          <w:lang w:val="es-MX"/>
        </w:rPr>
        <w:t xml:space="preserve">permite </w:t>
      </w:r>
      <w:r w:rsidR="00401D5F" w:rsidRPr="00155114">
        <w:rPr>
          <w:rFonts w:cs="Times New Roman"/>
          <w:szCs w:val="24"/>
          <w:lang w:val="es-MX"/>
        </w:rPr>
        <w:t>que</w:t>
      </w:r>
      <w:r w:rsidR="00AC0F4C" w:rsidRPr="00155114">
        <w:rPr>
          <w:rFonts w:cs="Times New Roman"/>
          <w:szCs w:val="24"/>
          <w:lang w:val="es-MX"/>
        </w:rPr>
        <w:t>,</w:t>
      </w:r>
      <w:r w:rsidR="00401D5F" w:rsidRPr="00155114">
        <w:rPr>
          <w:rFonts w:cs="Times New Roman"/>
          <w:szCs w:val="24"/>
          <w:lang w:val="es-MX"/>
        </w:rPr>
        <w:t xml:space="preserve"> con posterioridad </w:t>
      </w:r>
      <w:r w:rsidR="004E3434" w:rsidRPr="00155114">
        <w:rPr>
          <w:rFonts w:cs="Times New Roman"/>
          <w:szCs w:val="24"/>
          <w:lang w:val="es-MX"/>
        </w:rPr>
        <w:t xml:space="preserve">al </w:t>
      </w:r>
      <w:r w:rsidR="000B73BD" w:rsidRPr="00155114">
        <w:rPr>
          <w:rFonts w:cs="Times New Roman"/>
          <w:szCs w:val="24"/>
          <w:lang w:val="es-MX"/>
        </w:rPr>
        <w:t>cierre del ciclo y del cálculo</w:t>
      </w:r>
      <w:r w:rsidR="004E3434" w:rsidRPr="00155114">
        <w:rPr>
          <w:rFonts w:cs="Times New Roman"/>
          <w:szCs w:val="24"/>
          <w:lang w:val="es-MX"/>
        </w:rPr>
        <w:t xml:space="preserve"> de la posición liquidadora de cada fondo administrado</w:t>
      </w:r>
      <w:r w:rsidR="000F3FA5" w:rsidRPr="00155114">
        <w:rPr>
          <w:rFonts w:cs="Times New Roman"/>
          <w:szCs w:val="24"/>
          <w:lang w:val="es-MX"/>
        </w:rPr>
        <w:t xml:space="preserve"> que </w:t>
      </w:r>
      <w:r w:rsidR="00E132E2" w:rsidRPr="00155114">
        <w:rPr>
          <w:rFonts w:cs="Times New Roman"/>
          <w:szCs w:val="24"/>
          <w:lang w:val="es-MX"/>
        </w:rPr>
        <w:t>envía</w:t>
      </w:r>
      <w:r w:rsidR="000F3FA5" w:rsidRPr="00155114">
        <w:rPr>
          <w:rFonts w:cs="Times New Roman"/>
          <w:szCs w:val="24"/>
          <w:lang w:val="es-MX"/>
        </w:rPr>
        <w:t xml:space="preserve"> </w:t>
      </w:r>
      <w:r w:rsidR="00896BC8" w:rsidRPr="00155114">
        <w:rPr>
          <w:rFonts w:cs="Times New Roman"/>
          <w:szCs w:val="24"/>
          <w:lang w:val="es-MX"/>
        </w:rPr>
        <w:t>el SEC</w:t>
      </w:r>
      <w:r w:rsidR="000F3FA5" w:rsidRPr="00155114">
        <w:rPr>
          <w:rFonts w:cs="Times New Roman"/>
          <w:szCs w:val="24"/>
          <w:lang w:val="es-MX"/>
        </w:rPr>
        <w:t xml:space="preserve"> al SINPE</w:t>
      </w:r>
      <w:r w:rsidR="001035AC" w:rsidRPr="00155114">
        <w:rPr>
          <w:rFonts w:cs="Times New Roman"/>
          <w:szCs w:val="24"/>
          <w:lang w:val="es-MX"/>
        </w:rPr>
        <w:t xml:space="preserve"> (archivo multilateral neto)</w:t>
      </w:r>
      <w:r w:rsidR="00C77013" w:rsidRPr="00155114">
        <w:rPr>
          <w:rFonts w:cs="Times New Roman"/>
          <w:szCs w:val="24"/>
          <w:lang w:val="es-MX"/>
        </w:rPr>
        <w:t xml:space="preserve">, </w:t>
      </w:r>
      <w:r w:rsidR="00B6331F" w:rsidRPr="00155114">
        <w:rPr>
          <w:rFonts w:cs="Times New Roman"/>
          <w:szCs w:val="24"/>
          <w:lang w:val="es-MX"/>
        </w:rPr>
        <w:t>comunicado</w:t>
      </w:r>
      <w:r w:rsidR="00F46E89" w:rsidRPr="00155114">
        <w:rPr>
          <w:rFonts w:cs="Times New Roman"/>
          <w:szCs w:val="24"/>
          <w:lang w:val="es-MX"/>
        </w:rPr>
        <w:t xml:space="preserve"> a todas las operadoras a la 1:15 pm</w:t>
      </w:r>
      <w:r w:rsidR="0002565B" w:rsidRPr="00155114">
        <w:rPr>
          <w:rFonts w:cs="Times New Roman"/>
          <w:szCs w:val="24"/>
          <w:lang w:val="es-MX"/>
        </w:rPr>
        <w:t xml:space="preserve"> (</w:t>
      </w:r>
      <w:r w:rsidR="0087154B" w:rsidRPr="00155114">
        <w:rPr>
          <w:rFonts w:cs="Times New Roman"/>
          <w:szCs w:val="24"/>
          <w:lang w:val="es-MX"/>
        </w:rPr>
        <w:t>fase 2)</w:t>
      </w:r>
      <w:r w:rsidR="004E3434" w:rsidRPr="00155114">
        <w:rPr>
          <w:rFonts w:cs="Times New Roman"/>
          <w:szCs w:val="24"/>
          <w:lang w:val="es-MX"/>
        </w:rPr>
        <w:t>,</w:t>
      </w:r>
      <w:r w:rsidR="000B73BD" w:rsidRPr="00155114">
        <w:rPr>
          <w:rFonts w:cs="Times New Roman"/>
          <w:szCs w:val="24"/>
          <w:lang w:val="es-MX"/>
        </w:rPr>
        <w:t xml:space="preserve"> las entidades puedan realizar</w:t>
      </w:r>
      <w:r w:rsidR="00E20BA2" w:rsidRPr="00155114">
        <w:rPr>
          <w:rFonts w:cs="Times New Roman"/>
          <w:szCs w:val="24"/>
          <w:lang w:val="es-MX"/>
        </w:rPr>
        <w:t>,</w:t>
      </w:r>
      <w:r w:rsidR="000B73BD" w:rsidRPr="00155114">
        <w:rPr>
          <w:rFonts w:cs="Times New Roman"/>
          <w:szCs w:val="24"/>
          <w:lang w:val="es-MX"/>
        </w:rPr>
        <w:t xml:space="preserve"> </w:t>
      </w:r>
      <w:r w:rsidR="00F46E89" w:rsidRPr="00155114">
        <w:rPr>
          <w:rFonts w:cs="Times New Roman"/>
          <w:szCs w:val="24"/>
          <w:lang w:val="es-MX"/>
        </w:rPr>
        <w:t xml:space="preserve">entre </w:t>
      </w:r>
      <w:r w:rsidR="0002565B" w:rsidRPr="00155114">
        <w:rPr>
          <w:rFonts w:cs="Times New Roman"/>
          <w:szCs w:val="24"/>
          <w:lang w:val="es-MX"/>
        </w:rPr>
        <w:t>las 2:30 y 3:00</w:t>
      </w:r>
      <w:r w:rsidR="00131B0C" w:rsidRPr="00155114">
        <w:rPr>
          <w:rFonts w:cs="Times New Roman"/>
          <w:szCs w:val="24"/>
          <w:lang w:val="es-MX"/>
        </w:rPr>
        <w:t xml:space="preserve"> pm</w:t>
      </w:r>
      <w:r w:rsidR="00E20BA2" w:rsidRPr="00155114">
        <w:rPr>
          <w:rFonts w:cs="Times New Roman"/>
          <w:szCs w:val="24"/>
          <w:lang w:val="es-MX"/>
        </w:rPr>
        <w:t>,</w:t>
      </w:r>
      <w:r w:rsidR="0087154B" w:rsidRPr="00155114">
        <w:rPr>
          <w:rFonts w:cs="Times New Roman"/>
          <w:szCs w:val="24"/>
          <w:lang w:val="es-MX"/>
        </w:rPr>
        <w:t xml:space="preserve"> </w:t>
      </w:r>
      <w:r w:rsidR="00614A49" w:rsidRPr="00155114">
        <w:rPr>
          <w:rFonts w:cs="Times New Roman"/>
          <w:szCs w:val="24"/>
          <w:lang w:val="es-MX"/>
        </w:rPr>
        <w:t>una</w:t>
      </w:r>
      <w:r w:rsidR="00416B8B" w:rsidRPr="00155114">
        <w:rPr>
          <w:rFonts w:cs="Times New Roman"/>
          <w:szCs w:val="24"/>
          <w:lang w:val="es-MX"/>
        </w:rPr>
        <w:t xml:space="preserve"> exclusión  </w:t>
      </w:r>
      <w:r w:rsidR="00614A49" w:rsidRPr="00155114">
        <w:rPr>
          <w:rFonts w:cs="Times New Roman"/>
          <w:szCs w:val="24"/>
          <w:lang w:val="es-MX"/>
        </w:rPr>
        <w:t xml:space="preserve">adicional </w:t>
      </w:r>
      <w:r w:rsidR="00416B8B" w:rsidRPr="00155114">
        <w:rPr>
          <w:rFonts w:cs="Times New Roman"/>
          <w:szCs w:val="24"/>
          <w:lang w:val="es-MX"/>
        </w:rPr>
        <w:t xml:space="preserve">de  </w:t>
      </w:r>
      <w:r w:rsidR="00A75E26" w:rsidRPr="00155114">
        <w:rPr>
          <w:rFonts w:cs="Times New Roman"/>
          <w:szCs w:val="24"/>
          <w:lang w:val="es-MX"/>
        </w:rPr>
        <w:t>los traslados</w:t>
      </w:r>
      <w:r w:rsidR="00416B8B" w:rsidRPr="00155114">
        <w:rPr>
          <w:rFonts w:cs="Times New Roman"/>
          <w:szCs w:val="24"/>
          <w:lang w:val="es-MX"/>
        </w:rPr>
        <w:t xml:space="preserve"> asociad</w:t>
      </w:r>
      <w:r w:rsidR="00A75E26" w:rsidRPr="00155114">
        <w:rPr>
          <w:rFonts w:cs="Times New Roman"/>
          <w:szCs w:val="24"/>
          <w:lang w:val="es-MX"/>
        </w:rPr>
        <w:t>o</w:t>
      </w:r>
      <w:r w:rsidR="00416B8B" w:rsidRPr="00155114">
        <w:rPr>
          <w:rFonts w:cs="Times New Roman"/>
          <w:szCs w:val="24"/>
          <w:lang w:val="es-MX"/>
        </w:rPr>
        <w:t>s a una o varias entidades, o bien, la exclusión de tod</w:t>
      </w:r>
      <w:r w:rsidR="00385ED8" w:rsidRPr="00155114">
        <w:rPr>
          <w:rFonts w:cs="Times New Roman"/>
          <w:szCs w:val="24"/>
          <w:lang w:val="es-MX"/>
        </w:rPr>
        <w:t>os</w:t>
      </w:r>
      <w:r w:rsidR="00416B8B" w:rsidRPr="00155114">
        <w:rPr>
          <w:rFonts w:cs="Times New Roman"/>
          <w:szCs w:val="24"/>
          <w:lang w:val="es-MX"/>
        </w:rPr>
        <w:t xml:space="preserve"> </w:t>
      </w:r>
      <w:r w:rsidR="00A75E26" w:rsidRPr="00155114">
        <w:rPr>
          <w:rFonts w:cs="Times New Roman"/>
          <w:szCs w:val="24"/>
          <w:lang w:val="es-MX"/>
        </w:rPr>
        <w:t>los traslados</w:t>
      </w:r>
      <w:r w:rsidR="00416B8B" w:rsidRPr="00155114">
        <w:rPr>
          <w:rFonts w:cs="Times New Roman"/>
          <w:szCs w:val="24"/>
          <w:lang w:val="es-MX"/>
        </w:rPr>
        <w:t xml:space="preserve"> por tipo de moneda, lo cual </w:t>
      </w:r>
      <w:r w:rsidR="005D00EA" w:rsidRPr="00155114">
        <w:rPr>
          <w:rFonts w:cs="Times New Roman"/>
          <w:szCs w:val="24"/>
          <w:lang w:val="es-MX"/>
        </w:rPr>
        <w:t xml:space="preserve">provoca </w:t>
      </w:r>
      <w:r w:rsidR="0087154B" w:rsidRPr="00155114">
        <w:rPr>
          <w:rFonts w:cs="Times New Roman"/>
          <w:szCs w:val="24"/>
          <w:lang w:val="es-MX"/>
        </w:rPr>
        <w:t xml:space="preserve">el </w:t>
      </w:r>
      <w:r w:rsidR="00E20BA2" w:rsidRPr="00155114">
        <w:rPr>
          <w:rFonts w:cs="Times New Roman"/>
          <w:szCs w:val="24"/>
          <w:lang w:val="es-MX"/>
        </w:rPr>
        <w:t xml:space="preserve">recálculo </w:t>
      </w:r>
      <w:r w:rsidR="0087154B" w:rsidRPr="00155114">
        <w:rPr>
          <w:rFonts w:cs="Times New Roman"/>
          <w:szCs w:val="24"/>
          <w:lang w:val="es-MX"/>
        </w:rPr>
        <w:t>d</w:t>
      </w:r>
      <w:r w:rsidR="00965FB0" w:rsidRPr="00155114">
        <w:rPr>
          <w:rFonts w:cs="Times New Roman"/>
          <w:szCs w:val="24"/>
          <w:lang w:val="es-MX"/>
        </w:rPr>
        <w:t xml:space="preserve">el multilateral </w:t>
      </w:r>
      <w:r w:rsidR="007C0164" w:rsidRPr="00155114">
        <w:rPr>
          <w:rFonts w:cs="Times New Roman"/>
          <w:szCs w:val="24"/>
          <w:lang w:val="es-MX"/>
        </w:rPr>
        <w:t xml:space="preserve">entre </w:t>
      </w:r>
      <w:r w:rsidR="00965FB0" w:rsidRPr="00155114">
        <w:rPr>
          <w:rFonts w:cs="Times New Roman"/>
          <w:szCs w:val="24"/>
          <w:lang w:val="es-MX"/>
        </w:rPr>
        <w:t xml:space="preserve">las 2:30 </w:t>
      </w:r>
      <w:r w:rsidR="00431518" w:rsidRPr="00155114">
        <w:rPr>
          <w:rFonts w:cs="Times New Roman"/>
          <w:szCs w:val="24"/>
          <w:lang w:val="es-MX"/>
        </w:rPr>
        <w:t xml:space="preserve">p.m. </w:t>
      </w:r>
      <w:r w:rsidR="007C0164" w:rsidRPr="00155114">
        <w:rPr>
          <w:rFonts w:cs="Times New Roman"/>
          <w:szCs w:val="24"/>
          <w:lang w:val="es-MX"/>
        </w:rPr>
        <w:t xml:space="preserve">y </w:t>
      </w:r>
      <w:r w:rsidR="00431518" w:rsidRPr="00155114">
        <w:rPr>
          <w:rFonts w:cs="Times New Roman"/>
          <w:szCs w:val="24"/>
          <w:lang w:val="es-MX"/>
        </w:rPr>
        <w:t xml:space="preserve">las </w:t>
      </w:r>
      <w:r w:rsidR="007C0164" w:rsidRPr="00155114">
        <w:rPr>
          <w:rFonts w:cs="Times New Roman"/>
          <w:szCs w:val="24"/>
          <w:lang w:val="es-MX"/>
        </w:rPr>
        <w:t xml:space="preserve">3:00 </w:t>
      </w:r>
      <w:r w:rsidR="00965FB0" w:rsidRPr="00155114">
        <w:rPr>
          <w:rFonts w:cs="Times New Roman"/>
          <w:szCs w:val="24"/>
          <w:lang w:val="es-MX"/>
        </w:rPr>
        <w:t>pm del día del ciclo</w:t>
      </w:r>
      <w:r w:rsidR="007C0164" w:rsidRPr="00155114">
        <w:rPr>
          <w:rFonts w:cs="Times New Roman"/>
          <w:szCs w:val="24"/>
          <w:lang w:val="es-MX"/>
        </w:rPr>
        <w:t xml:space="preserve">, dejando un lapso de 30 minutos </w:t>
      </w:r>
      <w:r w:rsidR="00600BAF" w:rsidRPr="00155114">
        <w:rPr>
          <w:rFonts w:cs="Times New Roman"/>
          <w:szCs w:val="24"/>
          <w:lang w:val="es-MX"/>
        </w:rPr>
        <w:t xml:space="preserve">(3:00 a 3:30 pm) para que </w:t>
      </w:r>
      <w:r w:rsidR="00AA4C60" w:rsidRPr="00155114">
        <w:rPr>
          <w:rFonts w:cs="Times New Roman"/>
          <w:szCs w:val="24"/>
          <w:lang w:val="es-MX"/>
        </w:rPr>
        <w:t xml:space="preserve">SINPE </w:t>
      </w:r>
      <w:r w:rsidR="004D4DB3" w:rsidRPr="00155114">
        <w:rPr>
          <w:rFonts w:cs="Times New Roman"/>
          <w:szCs w:val="24"/>
          <w:lang w:val="es-MX"/>
        </w:rPr>
        <w:t>determine</w:t>
      </w:r>
      <w:r w:rsidR="00AA4C60" w:rsidRPr="00155114">
        <w:rPr>
          <w:rFonts w:cs="Times New Roman"/>
          <w:szCs w:val="24"/>
          <w:lang w:val="es-MX"/>
        </w:rPr>
        <w:t xml:space="preserve"> la </w:t>
      </w:r>
      <w:r w:rsidR="00390BBF" w:rsidRPr="00155114">
        <w:rPr>
          <w:rFonts w:cs="Times New Roman"/>
          <w:szCs w:val="24"/>
          <w:lang w:val="es-MX"/>
        </w:rPr>
        <w:t xml:space="preserve">nueva </w:t>
      </w:r>
      <w:r w:rsidR="00AA4C60" w:rsidRPr="00155114">
        <w:rPr>
          <w:rFonts w:cs="Times New Roman"/>
          <w:szCs w:val="24"/>
          <w:lang w:val="es-MX"/>
        </w:rPr>
        <w:t>posición (positiva o negativa)</w:t>
      </w:r>
      <w:r w:rsidR="008F635E" w:rsidRPr="00155114">
        <w:rPr>
          <w:rFonts w:cs="Times New Roman"/>
          <w:szCs w:val="24"/>
        </w:rPr>
        <w:t xml:space="preserve">, para </w:t>
      </w:r>
      <w:r w:rsidR="002A057E" w:rsidRPr="00155114">
        <w:rPr>
          <w:rFonts w:cs="Times New Roman"/>
          <w:szCs w:val="24"/>
          <w:lang w:val="es-MX"/>
        </w:rPr>
        <w:t xml:space="preserve">que las otras operadoras realicen el fondeo de sus cuentas con el nuevo resultado multilateral, luego de </w:t>
      </w:r>
      <w:r w:rsidR="008F635E" w:rsidRPr="00155114">
        <w:rPr>
          <w:rFonts w:cs="Times New Roman"/>
          <w:szCs w:val="24"/>
          <w:lang w:val="es-MX"/>
        </w:rPr>
        <w:t>las exclusiones realizadas.</w:t>
      </w:r>
      <w:r w:rsidR="002A057E" w:rsidRPr="00155114">
        <w:rPr>
          <w:rFonts w:cs="Times New Roman"/>
          <w:szCs w:val="24"/>
          <w:lang w:val="es-MX"/>
        </w:rPr>
        <w:t xml:space="preserve"> </w:t>
      </w:r>
      <w:r w:rsidR="00E118A4" w:rsidRPr="00155114">
        <w:rPr>
          <w:rFonts w:cs="Times New Roman"/>
          <w:szCs w:val="24"/>
          <w:lang w:val="es-MX"/>
        </w:rPr>
        <w:t xml:space="preserve"> Esta opción abre</w:t>
      </w:r>
      <w:r w:rsidR="00DC32FC" w:rsidRPr="00155114">
        <w:rPr>
          <w:rFonts w:cs="Times New Roman"/>
          <w:szCs w:val="24"/>
          <w:lang w:val="es-MX"/>
        </w:rPr>
        <w:t xml:space="preserve"> </w:t>
      </w:r>
      <w:r w:rsidR="00E118A4" w:rsidRPr="00155114">
        <w:rPr>
          <w:rFonts w:cs="Times New Roman"/>
          <w:szCs w:val="24"/>
          <w:lang w:val="es-MX"/>
        </w:rPr>
        <w:t xml:space="preserve">la posibilidad de que </w:t>
      </w:r>
      <w:r w:rsidR="009B0328" w:rsidRPr="00155114">
        <w:rPr>
          <w:rFonts w:cs="Times New Roman"/>
          <w:szCs w:val="24"/>
          <w:lang w:val="es-MX"/>
        </w:rPr>
        <w:t>otras operadoras</w:t>
      </w:r>
      <w:r w:rsidR="009D6BEE" w:rsidRPr="00155114">
        <w:rPr>
          <w:rFonts w:cs="Times New Roman"/>
          <w:szCs w:val="24"/>
          <w:lang w:val="es-MX"/>
        </w:rPr>
        <w:t xml:space="preserve"> </w:t>
      </w:r>
      <w:r w:rsidR="000133F5" w:rsidRPr="00155114">
        <w:rPr>
          <w:rFonts w:cs="Times New Roman"/>
          <w:szCs w:val="24"/>
          <w:lang w:val="es-MX"/>
        </w:rPr>
        <w:t xml:space="preserve">también </w:t>
      </w:r>
      <w:r w:rsidR="009B0328" w:rsidRPr="00155114">
        <w:rPr>
          <w:rFonts w:cs="Times New Roman"/>
          <w:szCs w:val="24"/>
          <w:lang w:val="es-MX"/>
        </w:rPr>
        <w:t>realicen exclusiones</w:t>
      </w:r>
      <w:r w:rsidR="009E0E28" w:rsidRPr="00155114">
        <w:rPr>
          <w:rFonts w:cs="Times New Roman"/>
          <w:szCs w:val="24"/>
          <w:lang w:val="es-MX"/>
        </w:rPr>
        <w:t xml:space="preserve"> </w:t>
      </w:r>
      <w:r w:rsidR="006E3138" w:rsidRPr="00155114">
        <w:rPr>
          <w:rFonts w:cs="Times New Roman"/>
          <w:szCs w:val="24"/>
          <w:lang w:val="es-MX"/>
        </w:rPr>
        <w:t>genera</w:t>
      </w:r>
      <w:r w:rsidR="009E0E28" w:rsidRPr="00155114">
        <w:rPr>
          <w:rFonts w:cs="Times New Roman"/>
          <w:szCs w:val="24"/>
          <w:lang w:val="es-MX"/>
        </w:rPr>
        <w:t>ndo</w:t>
      </w:r>
      <w:r w:rsidR="006E3138" w:rsidRPr="00155114">
        <w:rPr>
          <w:rFonts w:cs="Times New Roman"/>
          <w:szCs w:val="24"/>
          <w:lang w:val="es-MX"/>
        </w:rPr>
        <w:t xml:space="preserve"> </w:t>
      </w:r>
      <w:r w:rsidR="00D640E9" w:rsidRPr="00155114">
        <w:rPr>
          <w:rFonts w:cs="Times New Roman"/>
          <w:szCs w:val="24"/>
          <w:lang w:val="es-MX"/>
        </w:rPr>
        <w:t>una afectación</w:t>
      </w:r>
      <w:r w:rsidR="00B40BD7" w:rsidRPr="00155114">
        <w:rPr>
          <w:rFonts w:cs="Times New Roman"/>
          <w:szCs w:val="24"/>
          <w:lang w:val="es-MX"/>
        </w:rPr>
        <w:t>,</w:t>
      </w:r>
      <w:r w:rsidR="00325857" w:rsidRPr="00155114">
        <w:rPr>
          <w:rFonts w:cs="Times New Roman"/>
          <w:szCs w:val="24"/>
          <w:lang w:val="es-MX"/>
        </w:rPr>
        <w:t xml:space="preserve"> </w:t>
      </w:r>
      <w:r w:rsidR="00D73B93" w:rsidRPr="00155114">
        <w:rPr>
          <w:rFonts w:cs="Times New Roman"/>
          <w:szCs w:val="24"/>
          <w:lang w:val="es-MX"/>
        </w:rPr>
        <w:t xml:space="preserve">no solamente a </w:t>
      </w:r>
      <w:r w:rsidR="00D640E9" w:rsidRPr="00155114">
        <w:rPr>
          <w:rFonts w:cs="Times New Roman"/>
          <w:szCs w:val="24"/>
          <w:lang w:val="es-MX"/>
        </w:rPr>
        <w:t>los afiliados</w:t>
      </w:r>
      <w:r w:rsidR="00D73B93" w:rsidRPr="00155114">
        <w:rPr>
          <w:rFonts w:cs="Times New Roman"/>
          <w:szCs w:val="24"/>
          <w:lang w:val="es-MX"/>
        </w:rPr>
        <w:t>,</w:t>
      </w:r>
      <w:r w:rsidR="00D640E9" w:rsidRPr="00155114">
        <w:rPr>
          <w:rFonts w:cs="Times New Roman"/>
          <w:szCs w:val="24"/>
          <w:lang w:val="es-MX"/>
        </w:rPr>
        <w:t xml:space="preserve"> ya que </w:t>
      </w:r>
      <w:r w:rsidR="000D41B5" w:rsidRPr="00155114">
        <w:rPr>
          <w:rFonts w:cs="Times New Roman"/>
          <w:szCs w:val="24"/>
          <w:lang w:val="es-MX"/>
        </w:rPr>
        <w:t>los</w:t>
      </w:r>
      <w:r w:rsidR="00D640E9" w:rsidRPr="00155114">
        <w:rPr>
          <w:rFonts w:cs="Times New Roman"/>
          <w:szCs w:val="24"/>
          <w:lang w:val="es-MX"/>
        </w:rPr>
        <w:t xml:space="preserve"> traslados</w:t>
      </w:r>
      <w:r w:rsidR="00890035" w:rsidRPr="00155114">
        <w:rPr>
          <w:rFonts w:cs="Times New Roman"/>
          <w:szCs w:val="24"/>
          <w:lang w:val="es-MX"/>
        </w:rPr>
        <w:t xml:space="preserve"> </w:t>
      </w:r>
      <w:r w:rsidR="000D41B5" w:rsidRPr="00155114">
        <w:rPr>
          <w:rFonts w:cs="Times New Roman"/>
          <w:szCs w:val="24"/>
          <w:lang w:val="es-MX"/>
        </w:rPr>
        <w:t xml:space="preserve">de </w:t>
      </w:r>
      <w:r w:rsidR="00D7483F" w:rsidRPr="00155114">
        <w:rPr>
          <w:rFonts w:cs="Times New Roman"/>
          <w:szCs w:val="24"/>
          <w:lang w:val="es-MX"/>
        </w:rPr>
        <w:t xml:space="preserve">sus </w:t>
      </w:r>
      <w:r w:rsidR="000D41B5" w:rsidRPr="00155114">
        <w:rPr>
          <w:rFonts w:cs="Times New Roman"/>
          <w:szCs w:val="24"/>
          <w:lang w:val="es-MX"/>
        </w:rPr>
        <w:t xml:space="preserve">recursos </w:t>
      </w:r>
      <w:r w:rsidR="006236D0" w:rsidRPr="00155114">
        <w:rPr>
          <w:rFonts w:cs="Times New Roman"/>
          <w:szCs w:val="24"/>
          <w:lang w:val="es-MX"/>
        </w:rPr>
        <w:t xml:space="preserve">a otras operadoras </w:t>
      </w:r>
      <w:r w:rsidR="00890035" w:rsidRPr="00155114">
        <w:rPr>
          <w:rFonts w:cs="Times New Roman"/>
          <w:szCs w:val="24"/>
          <w:lang w:val="es-MX"/>
        </w:rPr>
        <w:t>podrán hacerse efectivos hasta el siguiente</w:t>
      </w:r>
      <w:r w:rsidR="005A591A" w:rsidRPr="00155114">
        <w:rPr>
          <w:rFonts w:cs="Times New Roman"/>
          <w:szCs w:val="24"/>
        </w:rPr>
        <w:t xml:space="preserve"> </w:t>
      </w:r>
      <w:r w:rsidR="005A591A" w:rsidRPr="00155114">
        <w:rPr>
          <w:rFonts w:cs="Times New Roman"/>
          <w:szCs w:val="24"/>
          <w:lang w:val="es-MX"/>
        </w:rPr>
        <w:t>ciclo</w:t>
      </w:r>
      <w:r w:rsidR="00D73B93" w:rsidRPr="00155114">
        <w:rPr>
          <w:rFonts w:cs="Times New Roman"/>
          <w:szCs w:val="24"/>
          <w:lang w:val="es-MX"/>
        </w:rPr>
        <w:t>, sino</w:t>
      </w:r>
      <w:r w:rsidR="000D41B5" w:rsidRPr="00155114">
        <w:rPr>
          <w:rFonts w:cs="Times New Roman"/>
          <w:szCs w:val="24"/>
          <w:lang w:val="es-MX"/>
        </w:rPr>
        <w:t>,</w:t>
      </w:r>
      <w:r w:rsidR="00D73B93" w:rsidRPr="00155114">
        <w:rPr>
          <w:rFonts w:cs="Times New Roman"/>
          <w:szCs w:val="24"/>
          <w:lang w:val="es-MX"/>
        </w:rPr>
        <w:t xml:space="preserve"> </w:t>
      </w:r>
      <w:r w:rsidR="00217EE4" w:rsidRPr="00155114">
        <w:rPr>
          <w:rFonts w:cs="Times New Roman"/>
          <w:szCs w:val="24"/>
          <w:lang w:val="es-MX"/>
        </w:rPr>
        <w:t>también</w:t>
      </w:r>
      <w:r w:rsidR="000D41B5" w:rsidRPr="00155114">
        <w:rPr>
          <w:rFonts w:cs="Times New Roman"/>
          <w:szCs w:val="24"/>
          <w:lang w:val="es-MX"/>
        </w:rPr>
        <w:t>,</w:t>
      </w:r>
      <w:r w:rsidR="00217EE4" w:rsidRPr="00155114">
        <w:rPr>
          <w:rFonts w:cs="Times New Roman"/>
          <w:szCs w:val="24"/>
          <w:lang w:val="es-MX"/>
        </w:rPr>
        <w:t xml:space="preserve"> a </w:t>
      </w:r>
      <w:r w:rsidR="002A4641" w:rsidRPr="00155114">
        <w:rPr>
          <w:rFonts w:cs="Times New Roman"/>
          <w:szCs w:val="24"/>
          <w:lang w:val="es-MX"/>
        </w:rPr>
        <w:t>las operadoras de destino</w:t>
      </w:r>
      <w:r w:rsidR="00CC073E" w:rsidRPr="00155114">
        <w:rPr>
          <w:rFonts w:cs="Times New Roman"/>
          <w:szCs w:val="24"/>
          <w:lang w:val="es-MX"/>
        </w:rPr>
        <w:t>, quienes no</w:t>
      </w:r>
      <w:r w:rsidR="000D41B5" w:rsidRPr="00155114">
        <w:rPr>
          <w:rFonts w:cs="Times New Roman"/>
          <w:szCs w:val="24"/>
          <w:lang w:val="es-MX"/>
        </w:rPr>
        <w:t xml:space="preserve"> los</w:t>
      </w:r>
      <w:r w:rsidR="00CC073E" w:rsidRPr="00155114">
        <w:rPr>
          <w:rFonts w:cs="Times New Roman"/>
          <w:szCs w:val="24"/>
          <w:lang w:val="es-MX"/>
        </w:rPr>
        <w:t xml:space="preserve"> reciben</w:t>
      </w:r>
      <w:r w:rsidR="000D41B5" w:rsidRPr="00155114">
        <w:rPr>
          <w:rFonts w:cs="Times New Roman"/>
          <w:szCs w:val="24"/>
          <w:lang w:val="es-MX"/>
        </w:rPr>
        <w:t xml:space="preserve"> </w:t>
      </w:r>
      <w:r w:rsidR="00CC073E" w:rsidRPr="00155114">
        <w:rPr>
          <w:rFonts w:cs="Times New Roman"/>
          <w:szCs w:val="24"/>
          <w:lang w:val="es-MX"/>
        </w:rPr>
        <w:t>de forma oportuna</w:t>
      </w:r>
      <w:r w:rsidR="000D41B5" w:rsidRPr="00155114">
        <w:rPr>
          <w:rFonts w:cs="Times New Roman"/>
          <w:szCs w:val="24"/>
          <w:lang w:val="es-MX"/>
        </w:rPr>
        <w:t>,</w:t>
      </w:r>
      <w:r w:rsidR="00D64C0A" w:rsidRPr="00155114">
        <w:rPr>
          <w:rFonts w:cs="Times New Roman"/>
          <w:szCs w:val="24"/>
          <w:lang w:val="es-MX"/>
        </w:rPr>
        <w:t xml:space="preserve"> razones</w:t>
      </w:r>
      <w:r w:rsidR="00EA073F" w:rsidRPr="00155114">
        <w:rPr>
          <w:rFonts w:cs="Times New Roman"/>
          <w:szCs w:val="24"/>
          <w:lang w:val="es-MX"/>
        </w:rPr>
        <w:t>, ambas,</w:t>
      </w:r>
      <w:r w:rsidR="00D64C0A" w:rsidRPr="00155114">
        <w:rPr>
          <w:rFonts w:cs="Times New Roman"/>
          <w:szCs w:val="24"/>
          <w:lang w:val="es-MX"/>
        </w:rPr>
        <w:t xml:space="preserve"> que </w:t>
      </w:r>
      <w:r w:rsidR="00D7483F" w:rsidRPr="00155114">
        <w:rPr>
          <w:rFonts w:cs="Times New Roman"/>
          <w:szCs w:val="24"/>
          <w:lang w:val="es-MX"/>
        </w:rPr>
        <w:t>justifican</w:t>
      </w:r>
      <w:r w:rsidR="00D64C0A" w:rsidRPr="00155114">
        <w:rPr>
          <w:rFonts w:cs="Times New Roman"/>
          <w:szCs w:val="24"/>
          <w:lang w:val="es-MX"/>
        </w:rPr>
        <w:t xml:space="preserve"> la eliminación de esta </w:t>
      </w:r>
      <w:r w:rsidR="007A306F" w:rsidRPr="00155114">
        <w:rPr>
          <w:rFonts w:cs="Times New Roman"/>
          <w:szCs w:val="24"/>
          <w:lang w:val="es-MX"/>
        </w:rPr>
        <w:t xml:space="preserve">fase. </w:t>
      </w:r>
    </w:p>
    <w:p w14:paraId="73E2673B" w14:textId="2B2CB83F" w:rsidR="007A306F" w:rsidRPr="00155114" w:rsidRDefault="007A306F" w:rsidP="007A306F">
      <w:pPr>
        <w:spacing w:line="240" w:lineRule="auto"/>
        <w:jc w:val="both"/>
        <w:rPr>
          <w:rFonts w:cs="Times New Roman"/>
          <w:szCs w:val="24"/>
          <w:lang w:val="es-MX"/>
        </w:rPr>
      </w:pPr>
    </w:p>
    <w:p w14:paraId="6FF7EE39" w14:textId="119A503E" w:rsidR="00730960" w:rsidRPr="00155114" w:rsidRDefault="0064777F" w:rsidP="00146111">
      <w:pPr>
        <w:pStyle w:val="Prrafodelista"/>
        <w:numPr>
          <w:ilvl w:val="0"/>
          <w:numId w:val="1"/>
        </w:numPr>
        <w:spacing w:line="240" w:lineRule="auto"/>
        <w:jc w:val="both"/>
        <w:rPr>
          <w:rFonts w:cs="Times New Roman"/>
          <w:szCs w:val="24"/>
          <w:lang w:val="es-MX"/>
        </w:rPr>
      </w:pPr>
      <w:r>
        <w:rPr>
          <w:rFonts w:cs="Times New Roman"/>
          <w:szCs w:val="24"/>
          <w:lang w:val="es-MX"/>
        </w:rPr>
        <w:t>L</w:t>
      </w:r>
      <w:r w:rsidR="00C52EA2" w:rsidRPr="00155114">
        <w:rPr>
          <w:rFonts w:cs="Times New Roman"/>
          <w:szCs w:val="24"/>
          <w:lang w:val="es-MX"/>
        </w:rPr>
        <w:t>a normativa del SINPE</w:t>
      </w:r>
      <w:r w:rsidR="00530328" w:rsidRPr="00155114">
        <w:rPr>
          <w:rFonts w:cs="Times New Roman"/>
          <w:szCs w:val="24"/>
          <w:lang w:val="es-MX"/>
        </w:rPr>
        <w:t xml:space="preserve"> </w:t>
      </w:r>
      <w:r w:rsidR="00C52EA2" w:rsidRPr="00155114">
        <w:rPr>
          <w:rFonts w:cs="Times New Roman"/>
          <w:szCs w:val="24"/>
          <w:lang w:val="es-MX"/>
        </w:rPr>
        <w:t xml:space="preserve">ofrece una solución </w:t>
      </w:r>
      <w:r w:rsidR="00B94F14" w:rsidRPr="00155114">
        <w:rPr>
          <w:rFonts w:cs="Times New Roman"/>
          <w:szCs w:val="24"/>
          <w:lang w:val="es-MX"/>
        </w:rPr>
        <w:t xml:space="preserve">alternativa </w:t>
      </w:r>
      <w:r w:rsidR="00C52EA2" w:rsidRPr="00155114">
        <w:rPr>
          <w:rFonts w:cs="Times New Roman"/>
          <w:szCs w:val="24"/>
          <w:lang w:val="es-MX"/>
        </w:rPr>
        <w:t xml:space="preserve">para la contingencia prevista por la fase 5, </w:t>
      </w:r>
      <w:r w:rsidR="00C52EA2" w:rsidRPr="00155114">
        <w:rPr>
          <w:rFonts w:cs="Times New Roman"/>
          <w:i/>
          <w:iCs/>
          <w:szCs w:val="24"/>
          <w:lang w:val="es-MX"/>
        </w:rPr>
        <w:t>“Trasmisión electrónica de rechazos”,</w:t>
      </w:r>
      <w:r w:rsidR="00C52EA2" w:rsidRPr="00155114">
        <w:rPr>
          <w:rFonts w:cs="Times New Roman"/>
          <w:szCs w:val="24"/>
          <w:lang w:val="es-MX"/>
        </w:rPr>
        <w:t xml:space="preserve"> atrás citada</w:t>
      </w:r>
      <w:r w:rsidR="00DF2428" w:rsidRPr="00155114">
        <w:rPr>
          <w:rFonts w:cs="Times New Roman"/>
          <w:szCs w:val="24"/>
          <w:lang w:val="es-MX"/>
        </w:rPr>
        <w:t>,</w:t>
      </w:r>
      <w:r w:rsidR="00C52EA2" w:rsidRPr="00155114">
        <w:rPr>
          <w:rFonts w:cs="Times New Roman"/>
          <w:szCs w:val="24"/>
          <w:lang w:val="es-MX"/>
        </w:rPr>
        <w:t xml:space="preserve"> </w:t>
      </w:r>
      <w:r w:rsidR="00146111" w:rsidRPr="00155114">
        <w:rPr>
          <w:rFonts w:cs="Times New Roman"/>
          <w:szCs w:val="24"/>
          <w:lang w:val="es-MX"/>
        </w:rPr>
        <w:t>ya que</w:t>
      </w:r>
      <w:r w:rsidR="00610EFD" w:rsidRPr="00155114">
        <w:rPr>
          <w:rFonts w:cs="Times New Roman"/>
          <w:szCs w:val="24"/>
          <w:lang w:val="es-MX"/>
        </w:rPr>
        <w:t>,</w:t>
      </w:r>
      <w:r w:rsidR="007A306F" w:rsidRPr="00155114">
        <w:rPr>
          <w:rFonts w:cs="Times New Roman"/>
          <w:szCs w:val="24"/>
          <w:lang w:val="es-MX"/>
        </w:rPr>
        <w:t xml:space="preserve"> en evento de que alguna operadora </w:t>
      </w:r>
      <w:r w:rsidR="00224C9C" w:rsidRPr="00155114">
        <w:rPr>
          <w:rFonts w:cs="Times New Roman"/>
          <w:szCs w:val="24"/>
          <w:lang w:val="es-MX"/>
        </w:rPr>
        <w:t xml:space="preserve">pueda llegar a </w:t>
      </w:r>
      <w:r w:rsidR="007A306F" w:rsidRPr="00155114">
        <w:rPr>
          <w:rFonts w:cs="Times New Roman"/>
          <w:szCs w:val="24"/>
          <w:lang w:val="es-MX"/>
        </w:rPr>
        <w:t>enc</w:t>
      </w:r>
      <w:r w:rsidR="00224C9C" w:rsidRPr="00155114">
        <w:rPr>
          <w:rFonts w:cs="Times New Roman"/>
          <w:szCs w:val="24"/>
          <w:lang w:val="es-MX"/>
        </w:rPr>
        <w:t>ontr</w:t>
      </w:r>
      <w:r w:rsidR="00F651F0" w:rsidRPr="00155114">
        <w:rPr>
          <w:rFonts w:cs="Times New Roman"/>
          <w:szCs w:val="24"/>
          <w:lang w:val="es-MX"/>
        </w:rPr>
        <w:t>arse</w:t>
      </w:r>
      <w:r w:rsidR="007A306F" w:rsidRPr="00155114">
        <w:rPr>
          <w:rFonts w:cs="Times New Roman"/>
          <w:szCs w:val="24"/>
          <w:lang w:val="es-MX"/>
        </w:rPr>
        <w:t xml:space="preserve"> en la situación de que</w:t>
      </w:r>
      <w:r w:rsidR="00DE059F" w:rsidRPr="00155114">
        <w:rPr>
          <w:rFonts w:cs="Times New Roman"/>
          <w:szCs w:val="24"/>
          <w:lang w:val="es-MX"/>
        </w:rPr>
        <w:t>,</w:t>
      </w:r>
      <w:r w:rsidR="007A306F" w:rsidRPr="00155114">
        <w:rPr>
          <w:rFonts w:cs="Times New Roman"/>
          <w:szCs w:val="24"/>
          <w:lang w:val="es-MX"/>
        </w:rPr>
        <w:t xml:space="preserve"> </w:t>
      </w:r>
      <w:r w:rsidR="00983CEF" w:rsidRPr="00155114">
        <w:rPr>
          <w:rFonts w:cs="Times New Roman"/>
          <w:szCs w:val="24"/>
          <w:lang w:val="es-MX"/>
        </w:rPr>
        <w:t xml:space="preserve">con posterioridad al cierre del ciclo y </w:t>
      </w:r>
      <w:r w:rsidR="00C249B1" w:rsidRPr="00155114">
        <w:rPr>
          <w:rFonts w:cs="Times New Roman"/>
          <w:szCs w:val="24"/>
          <w:lang w:val="es-MX"/>
        </w:rPr>
        <w:t>a</w:t>
      </w:r>
      <w:r w:rsidR="00983CEF" w:rsidRPr="00155114">
        <w:rPr>
          <w:rFonts w:cs="Times New Roman"/>
          <w:szCs w:val="24"/>
          <w:lang w:val="es-MX"/>
        </w:rPr>
        <w:t>l cálculo de la posición liquidadora</w:t>
      </w:r>
      <w:r w:rsidR="00610EFD" w:rsidRPr="00155114">
        <w:rPr>
          <w:rFonts w:cs="Times New Roman"/>
          <w:szCs w:val="24"/>
          <w:lang w:val="es-MX"/>
        </w:rPr>
        <w:t xml:space="preserve">, no haya fondeado </w:t>
      </w:r>
      <w:r w:rsidR="00262C88" w:rsidRPr="00155114">
        <w:rPr>
          <w:rFonts w:cs="Times New Roman"/>
          <w:szCs w:val="24"/>
          <w:lang w:val="es-MX"/>
        </w:rPr>
        <w:t xml:space="preserve">suficientemente las cuentas </w:t>
      </w:r>
      <w:r w:rsidR="00DE059F" w:rsidRPr="00155114">
        <w:rPr>
          <w:rFonts w:cs="Times New Roman"/>
          <w:szCs w:val="24"/>
          <w:lang w:val="es-MX"/>
        </w:rPr>
        <w:t>corrientes</w:t>
      </w:r>
      <w:r w:rsidR="003330C7" w:rsidRPr="00155114">
        <w:rPr>
          <w:rFonts w:cs="Times New Roman"/>
          <w:szCs w:val="24"/>
          <w:lang w:val="es-MX"/>
        </w:rPr>
        <w:t xml:space="preserve"> </w:t>
      </w:r>
      <w:r w:rsidR="00262C88" w:rsidRPr="00155114">
        <w:rPr>
          <w:rFonts w:cs="Times New Roman"/>
          <w:szCs w:val="24"/>
          <w:lang w:val="es-MX"/>
        </w:rPr>
        <w:t xml:space="preserve">para </w:t>
      </w:r>
      <w:r w:rsidR="00F651F0" w:rsidRPr="00155114">
        <w:rPr>
          <w:rFonts w:cs="Times New Roman"/>
          <w:szCs w:val="24"/>
          <w:lang w:val="es-MX"/>
        </w:rPr>
        <w:t xml:space="preserve">poder </w:t>
      </w:r>
      <w:r w:rsidR="00262C88" w:rsidRPr="00155114">
        <w:rPr>
          <w:rFonts w:cs="Times New Roman"/>
          <w:szCs w:val="24"/>
          <w:lang w:val="es-MX"/>
        </w:rPr>
        <w:t>realizar el proceso de liquidación</w:t>
      </w:r>
      <w:r w:rsidR="003330C7" w:rsidRPr="00155114">
        <w:rPr>
          <w:rFonts w:cs="Times New Roman"/>
          <w:szCs w:val="24"/>
          <w:lang w:val="es-MX"/>
        </w:rPr>
        <w:t xml:space="preserve">, el </w:t>
      </w:r>
      <w:r w:rsidR="00651135" w:rsidRPr="00155114">
        <w:rPr>
          <w:rFonts w:cs="Times New Roman"/>
          <w:i/>
          <w:iCs/>
          <w:szCs w:val="24"/>
          <w:lang w:val="es-MX"/>
        </w:rPr>
        <w:t>Reglamento del sistema de pagos</w:t>
      </w:r>
      <w:r w:rsidR="00651135" w:rsidRPr="00155114">
        <w:rPr>
          <w:rFonts w:cs="Times New Roman"/>
          <w:szCs w:val="24"/>
          <w:lang w:val="es-MX"/>
        </w:rPr>
        <w:t xml:space="preserve">, publicado en el Alcance 97 a La Gaceta 83 del 14 de mayo de 2018, </w:t>
      </w:r>
      <w:r w:rsidR="00B523F8" w:rsidRPr="00155114">
        <w:rPr>
          <w:rFonts w:cs="Times New Roman"/>
          <w:szCs w:val="24"/>
          <w:lang w:val="es-MX"/>
        </w:rPr>
        <w:t xml:space="preserve">brinda la posibilidad de </w:t>
      </w:r>
      <w:r w:rsidR="008B3198" w:rsidRPr="00155114">
        <w:rPr>
          <w:rFonts w:cs="Times New Roman"/>
          <w:szCs w:val="24"/>
          <w:lang w:val="es-MX"/>
        </w:rPr>
        <w:t xml:space="preserve">que </w:t>
      </w:r>
      <w:r w:rsidR="009D2550" w:rsidRPr="00155114">
        <w:rPr>
          <w:rFonts w:cs="Times New Roman"/>
          <w:szCs w:val="24"/>
          <w:lang w:val="es-MX"/>
        </w:rPr>
        <w:t xml:space="preserve">la posición </w:t>
      </w:r>
      <w:r w:rsidR="00730960" w:rsidRPr="00155114">
        <w:rPr>
          <w:rFonts w:cs="Times New Roman"/>
          <w:szCs w:val="24"/>
          <w:lang w:val="es-MX"/>
        </w:rPr>
        <w:t>qued</w:t>
      </w:r>
      <w:r w:rsidR="0075593F" w:rsidRPr="00155114">
        <w:rPr>
          <w:rFonts w:cs="Times New Roman"/>
          <w:szCs w:val="24"/>
          <w:lang w:val="es-MX"/>
        </w:rPr>
        <w:t>e</w:t>
      </w:r>
      <w:r w:rsidR="00A0161E" w:rsidRPr="00155114">
        <w:rPr>
          <w:rFonts w:cs="Times New Roman"/>
          <w:szCs w:val="24"/>
          <w:lang w:val="es-MX"/>
        </w:rPr>
        <w:t xml:space="preserve"> cubierta </w:t>
      </w:r>
      <w:r w:rsidR="009D2550" w:rsidRPr="00155114">
        <w:rPr>
          <w:rFonts w:cs="Times New Roman"/>
          <w:szCs w:val="24"/>
          <w:lang w:val="es-MX"/>
        </w:rPr>
        <w:t xml:space="preserve">a través </w:t>
      </w:r>
      <w:r w:rsidR="004F4940" w:rsidRPr="00155114">
        <w:rPr>
          <w:rFonts w:cs="Times New Roman"/>
          <w:szCs w:val="24"/>
          <w:lang w:val="es-MX"/>
        </w:rPr>
        <w:t xml:space="preserve">del otorgamiento de los créditos </w:t>
      </w:r>
      <w:r w:rsidR="00A0161E" w:rsidRPr="00155114">
        <w:rPr>
          <w:rFonts w:cs="Times New Roman"/>
          <w:szCs w:val="24"/>
          <w:lang w:val="es-MX"/>
        </w:rPr>
        <w:t>previstos por el SINPE</w:t>
      </w:r>
      <w:r w:rsidR="00862717" w:rsidRPr="00155114">
        <w:rPr>
          <w:rFonts w:cs="Times New Roman"/>
          <w:szCs w:val="24"/>
          <w:lang w:val="es-MX"/>
        </w:rPr>
        <w:t xml:space="preserve">, con garantía de </w:t>
      </w:r>
      <w:r w:rsidR="00F34B57" w:rsidRPr="00155114">
        <w:rPr>
          <w:rFonts w:cs="Times New Roman"/>
          <w:szCs w:val="24"/>
          <w:lang w:val="es-MX"/>
        </w:rPr>
        <w:t>los valores o recursos propios</w:t>
      </w:r>
      <w:r w:rsidR="009C15A4" w:rsidRPr="00155114">
        <w:rPr>
          <w:rFonts w:cs="Times New Roman"/>
          <w:szCs w:val="24"/>
          <w:lang w:val="es-MX"/>
        </w:rPr>
        <w:t xml:space="preserve"> de la </w:t>
      </w:r>
      <w:r w:rsidR="00AE076D" w:rsidRPr="00155114">
        <w:rPr>
          <w:rFonts w:cs="Times New Roman"/>
          <w:szCs w:val="24"/>
          <w:lang w:val="es-MX"/>
        </w:rPr>
        <w:t>entidad</w:t>
      </w:r>
      <w:r w:rsidR="00FD7437" w:rsidRPr="00155114">
        <w:rPr>
          <w:rFonts w:cs="Times New Roman"/>
          <w:szCs w:val="24"/>
          <w:lang w:val="es-MX"/>
        </w:rPr>
        <w:t xml:space="preserve"> (artículo </w:t>
      </w:r>
      <w:r w:rsidR="007574AD" w:rsidRPr="00155114">
        <w:rPr>
          <w:rFonts w:cs="Times New Roman"/>
          <w:szCs w:val="24"/>
          <w:lang w:val="es-MX"/>
        </w:rPr>
        <w:t xml:space="preserve">359 y </w:t>
      </w:r>
      <w:r w:rsidR="00FE38EE" w:rsidRPr="00155114">
        <w:rPr>
          <w:rFonts w:cs="Times New Roman"/>
          <w:szCs w:val="24"/>
          <w:lang w:val="es-MX"/>
        </w:rPr>
        <w:t>relacionados)</w:t>
      </w:r>
      <w:r w:rsidR="00AE076D" w:rsidRPr="00155114">
        <w:rPr>
          <w:rFonts w:cs="Times New Roman"/>
          <w:szCs w:val="24"/>
          <w:lang w:val="es-MX"/>
        </w:rPr>
        <w:t>.</w:t>
      </w:r>
    </w:p>
    <w:p w14:paraId="7C420599" w14:textId="166D08D1" w:rsidR="001C4C25" w:rsidRPr="00155114" w:rsidRDefault="003E31FB" w:rsidP="00730960">
      <w:pPr>
        <w:spacing w:line="240" w:lineRule="auto"/>
        <w:jc w:val="both"/>
        <w:rPr>
          <w:rFonts w:cs="Times New Roman"/>
          <w:szCs w:val="24"/>
          <w:lang w:val="es-MX"/>
        </w:rPr>
      </w:pPr>
      <w:r w:rsidRPr="00155114">
        <w:rPr>
          <w:rFonts w:cs="Times New Roman"/>
          <w:szCs w:val="24"/>
          <w:lang w:val="es-MX"/>
        </w:rPr>
        <w:t xml:space="preserve">  </w:t>
      </w:r>
    </w:p>
    <w:p w14:paraId="634BA56F" w14:textId="77777777" w:rsidR="00277429" w:rsidRPr="00155114" w:rsidRDefault="00277429" w:rsidP="00277429">
      <w:pPr>
        <w:widowControl w:val="0"/>
        <w:spacing w:line="240" w:lineRule="auto"/>
        <w:contextualSpacing/>
        <w:jc w:val="both"/>
        <w:rPr>
          <w:rFonts w:cs="Times New Roman"/>
          <w:szCs w:val="24"/>
          <w:lang w:val="es-MX"/>
        </w:rPr>
      </w:pPr>
    </w:p>
    <w:p w14:paraId="68169074" w14:textId="77777777" w:rsidR="00416B8B" w:rsidRPr="00155114" w:rsidRDefault="00416B8B" w:rsidP="00277429">
      <w:pPr>
        <w:spacing w:line="240" w:lineRule="auto"/>
        <w:ind w:left="708"/>
        <w:contextualSpacing/>
        <w:jc w:val="center"/>
        <w:rPr>
          <w:rFonts w:eastAsia="Calibri" w:cs="Times New Roman"/>
          <w:b/>
          <w:bCs/>
          <w:szCs w:val="24"/>
        </w:rPr>
      </w:pPr>
      <w:r w:rsidRPr="00155114">
        <w:rPr>
          <w:rFonts w:eastAsia="Calibri" w:cs="Times New Roman"/>
          <w:b/>
          <w:bCs/>
          <w:szCs w:val="24"/>
        </w:rPr>
        <w:t>POR TANTO:</w:t>
      </w:r>
    </w:p>
    <w:p w14:paraId="44B09904" w14:textId="77777777" w:rsidR="00416B8B" w:rsidRPr="00155114" w:rsidRDefault="00416B8B" w:rsidP="00277429">
      <w:pPr>
        <w:spacing w:line="240" w:lineRule="auto"/>
        <w:ind w:left="708"/>
        <w:contextualSpacing/>
        <w:jc w:val="center"/>
        <w:rPr>
          <w:rFonts w:eastAsia="Calibri" w:cs="Times New Roman"/>
          <w:b/>
          <w:bCs/>
          <w:szCs w:val="24"/>
        </w:rPr>
      </w:pPr>
    </w:p>
    <w:p w14:paraId="5F36C73A" w14:textId="77777777" w:rsidR="00C71C6D" w:rsidRPr="00155114" w:rsidRDefault="00416B8B" w:rsidP="00A429F0">
      <w:pPr>
        <w:pStyle w:val="Prrafodelista"/>
        <w:widowControl w:val="0"/>
        <w:numPr>
          <w:ilvl w:val="0"/>
          <w:numId w:val="3"/>
        </w:numPr>
        <w:spacing w:line="240" w:lineRule="auto"/>
        <w:jc w:val="both"/>
        <w:rPr>
          <w:rFonts w:eastAsia="Calibri" w:cs="Times New Roman"/>
          <w:szCs w:val="24"/>
        </w:rPr>
      </w:pPr>
      <w:r w:rsidRPr="00155114">
        <w:rPr>
          <w:rFonts w:eastAsia="Calibri" w:cs="Times New Roman"/>
          <w:szCs w:val="24"/>
        </w:rPr>
        <w:t>Se elimina</w:t>
      </w:r>
      <w:r w:rsidRPr="00155114">
        <w:rPr>
          <w:rFonts w:cs="Times New Roman"/>
          <w:szCs w:val="24"/>
          <w:lang w:val="es-MX"/>
        </w:rPr>
        <w:t xml:space="preserve"> la fase 5 del artículo 10 </w:t>
      </w:r>
      <w:r w:rsidR="00EC48A6" w:rsidRPr="00155114">
        <w:rPr>
          <w:rFonts w:cs="Times New Roman"/>
          <w:szCs w:val="24"/>
          <w:lang w:val="es-MX"/>
        </w:rPr>
        <w:t xml:space="preserve">del Acuerdo </w:t>
      </w:r>
      <w:r w:rsidR="00EC48A6" w:rsidRPr="00155114">
        <w:rPr>
          <w:rFonts w:cs="Times New Roman"/>
          <w:i/>
          <w:iCs/>
          <w:szCs w:val="24"/>
          <w:lang w:val="es-MX"/>
        </w:rPr>
        <w:t>SP-A-137-2010, Plazo y forma de los traslados de recursos de la cuenta individual de los afiliados al Régimen de Capitalización Individual</w:t>
      </w:r>
      <w:r w:rsidR="00EC48A6" w:rsidRPr="00155114">
        <w:rPr>
          <w:rFonts w:cs="Times New Roman"/>
          <w:szCs w:val="24"/>
          <w:lang w:val="es-MX"/>
        </w:rPr>
        <w:t>,</w:t>
      </w:r>
      <w:r w:rsidR="00507F01" w:rsidRPr="00155114">
        <w:rPr>
          <w:rFonts w:cs="Times New Roman"/>
          <w:szCs w:val="24"/>
          <w:lang w:val="es-MX"/>
        </w:rPr>
        <w:t xml:space="preserve"> </w:t>
      </w:r>
      <w:r w:rsidR="00507F01" w:rsidRPr="00155114">
        <w:rPr>
          <w:rFonts w:cs="Times New Roman"/>
          <w:i/>
          <w:iCs/>
          <w:szCs w:val="24"/>
          <w:lang w:val="es-MX"/>
        </w:rPr>
        <w:t>de las quince horas del día veintidós de marzo de dos mi</w:t>
      </w:r>
      <w:r w:rsidR="004051ED" w:rsidRPr="00155114">
        <w:rPr>
          <w:rFonts w:cs="Times New Roman"/>
          <w:i/>
          <w:iCs/>
          <w:szCs w:val="24"/>
          <w:lang w:val="es-MX"/>
        </w:rPr>
        <w:t xml:space="preserve">l </w:t>
      </w:r>
      <w:r w:rsidR="004051ED" w:rsidRPr="00155114">
        <w:rPr>
          <w:rFonts w:cs="Times New Roman"/>
          <w:i/>
          <w:iCs/>
          <w:szCs w:val="24"/>
          <w:lang w:val="es-MX"/>
        </w:rPr>
        <w:lastRenderedPageBreak/>
        <w:t>diez,</w:t>
      </w:r>
      <w:r w:rsidR="00EC48A6" w:rsidRPr="00155114">
        <w:rPr>
          <w:rFonts w:cs="Times New Roman"/>
          <w:szCs w:val="24"/>
          <w:lang w:val="es-MX"/>
        </w:rPr>
        <w:t xml:space="preserve"> </w:t>
      </w:r>
      <w:r w:rsidRPr="00155114">
        <w:rPr>
          <w:rFonts w:cs="Times New Roman"/>
          <w:szCs w:val="24"/>
          <w:lang w:val="es-MX"/>
        </w:rPr>
        <w:t>denominad</w:t>
      </w:r>
      <w:r w:rsidR="00963D8B" w:rsidRPr="00155114">
        <w:rPr>
          <w:rFonts w:cs="Times New Roman"/>
          <w:szCs w:val="24"/>
          <w:lang w:val="es-MX"/>
        </w:rPr>
        <w:t>a</w:t>
      </w:r>
      <w:r w:rsidRPr="00155114">
        <w:rPr>
          <w:rFonts w:cs="Times New Roman"/>
          <w:szCs w:val="24"/>
          <w:lang w:val="es-MX"/>
        </w:rPr>
        <w:t xml:space="preserve"> </w:t>
      </w:r>
      <w:r w:rsidR="00D43264" w:rsidRPr="00155114">
        <w:rPr>
          <w:rFonts w:cs="Times New Roman"/>
          <w:szCs w:val="24"/>
          <w:lang w:val="es-MX"/>
        </w:rPr>
        <w:t>“</w:t>
      </w:r>
      <w:r w:rsidRPr="00155114">
        <w:rPr>
          <w:rFonts w:cs="Times New Roman"/>
          <w:i/>
          <w:iCs/>
          <w:szCs w:val="24"/>
          <w:lang w:val="es-MX"/>
        </w:rPr>
        <w:t>Trasmisión electrónica de rechazos</w:t>
      </w:r>
      <w:r w:rsidR="00EF412E" w:rsidRPr="00155114">
        <w:rPr>
          <w:rFonts w:cs="Times New Roman"/>
          <w:i/>
          <w:iCs/>
          <w:szCs w:val="24"/>
          <w:lang w:val="es-MX"/>
        </w:rPr>
        <w:t>”</w:t>
      </w:r>
      <w:r w:rsidR="00C71C6D" w:rsidRPr="00155114">
        <w:rPr>
          <w:rFonts w:cs="Times New Roman"/>
          <w:i/>
          <w:iCs/>
          <w:szCs w:val="24"/>
          <w:lang w:val="es-MX"/>
        </w:rPr>
        <w:t>.</w:t>
      </w:r>
    </w:p>
    <w:p w14:paraId="71DB577C" w14:textId="77777777" w:rsidR="00C71C6D" w:rsidRPr="00155114" w:rsidRDefault="00C71C6D" w:rsidP="00C71C6D">
      <w:pPr>
        <w:pStyle w:val="Prrafodelista"/>
        <w:widowControl w:val="0"/>
        <w:spacing w:line="240" w:lineRule="auto"/>
        <w:jc w:val="both"/>
        <w:rPr>
          <w:rFonts w:eastAsia="Calibri" w:cs="Times New Roman"/>
          <w:szCs w:val="24"/>
        </w:rPr>
      </w:pPr>
    </w:p>
    <w:p w14:paraId="66EBBCEC" w14:textId="56B16959" w:rsidR="00416B8B" w:rsidRPr="00155114" w:rsidRDefault="00416B8B" w:rsidP="00BB0F63">
      <w:pPr>
        <w:pStyle w:val="Prrafodelista"/>
        <w:widowControl w:val="0"/>
        <w:numPr>
          <w:ilvl w:val="0"/>
          <w:numId w:val="3"/>
        </w:numPr>
        <w:spacing w:line="240" w:lineRule="auto"/>
        <w:jc w:val="both"/>
        <w:rPr>
          <w:rFonts w:eastAsia="Calibri" w:cs="Times New Roman"/>
          <w:szCs w:val="24"/>
        </w:rPr>
      </w:pPr>
      <w:r w:rsidRPr="00155114">
        <w:rPr>
          <w:rFonts w:cs="Times New Roman"/>
          <w:szCs w:val="24"/>
          <w:lang w:val="es-MX"/>
        </w:rPr>
        <w:t xml:space="preserve"> </w:t>
      </w:r>
      <w:r w:rsidR="00C71C6D" w:rsidRPr="00155114">
        <w:rPr>
          <w:rFonts w:cs="Times New Roman"/>
          <w:szCs w:val="24"/>
          <w:lang w:val="es-MX"/>
        </w:rPr>
        <w:t>S</w:t>
      </w:r>
      <w:r w:rsidRPr="00155114">
        <w:rPr>
          <w:rFonts w:cs="Times New Roman"/>
          <w:szCs w:val="24"/>
          <w:lang w:val="es-MX"/>
        </w:rPr>
        <w:t xml:space="preserve">e </w:t>
      </w:r>
      <w:r w:rsidR="00C71C6D" w:rsidRPr="00155114">
        <w:rPr>
          <w:rFonts w:cs="Times New Roman"/>
          <w:szCs w:val="24"/>
          <w:lang w:val="es-MX"/>
        </w:rPr>
        <w:t>corre la numeración</w:t>
      </w:r>
      <w:r w:rsidR="00134367" w:rsidRPr="00155114">
        <w:rPr>
          <w:rFonts w:cs="Times New Roman"/>
          <w:szCs w:val="24"/>
          <w:lang w:val="es-MX"/>
        </w:rPr>
        <w:t xml:space="preserve"> de las fases</w:t>
      </w:r>
      <w:r w:rsidR="00A35046" w:rsidRPr="00155114">
        <w:rPr>
          <w:rFonts w:cs="Times New Roman"/>
          <w:szCs w:val="24"/>
          <w:lang w:val="es-MX"/>
        </w:rPr>
        <w:t>, de forma que, la</w:t>
      </w:r>
      <w:r w:rsidR="00E32F6F" w:rsidRPr="00155114">
        <w:rPr>
          <w:rFonts w:cs="Times New Roman"/>
          <w:szCs w:val="24"/>
          <w:lang w:val="es-MX"/>
        </w:rPr>
        <w:t xml:space="preserve"> actual Fase 6 ocupe el </w:t>
      </w:r>
      <w:r w:rsidR="007D4A33" w:rsidRPr="00155114">
        <w:rPr>
          <w:rFonts w:cs="Times New Roman"/>
          <w:szCs w:val="24"/>
          <w:lang w:val="es-MX"/>
        </w:rPr>
        <w:t xml:space="preserve">lugar de la eliminada Fase 5, y así </w:t>
      </w:r>
      <w:r w:rsidR="00840205" w:rsidRPr="00155114">
        <w:rPr>
          <w:rFonts w:cs="Times New Roman"/>
          <w:szCs w:val="24"/>
          <w:lang w:val="es-MX"/>
        </w:rPr>
        <w:t>subsecuentemente pa</w:t>
      </w:r>
      <w:r w:rsidR="00B316CF" w:rsidRPr="00155114">
        <w:rPr>
          <w:rFonts w:cs="Times New Roman"/>
          <w:szCs w:val="24"/>
          <w:lang w:val="es-MX"/>
        </w:rPr>
        <w:t>ra las sucesivas fases</w:t>
      </w:r>
      <w:r w:rsidR="00AD0EE7" w:rsidRPr="00155114">
        <w:rPr>
          <w:rFonts w:cs="Times New Roman"/>
          <w:szCs w:val="24"/>
          <w:lang w:val="es-MX"/>
        </w:rPr>
        <w:t xml:space="preserve"> y sus correspondientes descripciones, detalles y horarios</w:t>
      </w:r>
      <w:r w:rsidR="001D0BE7" w:rsidRPr="00155114">
        <w:rPr>
          <w:rFonts w:cs="Times New Roman"/>
          <w:szCs w:val="24"/>
          <w:lang w:val="es-MX"/>
        </w:rPr>
        <w:t>:</w:t>
      </w:r>
    </w:p>
    <w:p w14:paraId="3CEDF72A" w14:textId="49FFBCBA" w:rsidR="004F435B" w:rsidRPr="00155114" w:rsidRDefault="004F435B" w:rsidP="00277429">
      <w:pPr>
        <w:widowControl w:val="0"/>
        <w:spacing w:line="240" w:lineRule="auto"/>
        <w:contextualSpacing/>
        <w:jc w:val="both"/>
        <w:rPr>
          <w:rFonts w:eastAsia="Calibri" w:cs="Times New Roman"/>
          <w:szCs w:val="24"/>
        </w:rPr>
      </w:pPr>
    </w:p>
    <w:tbl>
      <w:tblPr>
        <w:tblStyle w:val="TableGrid"/>
        <w:tblW w:w="0" w:type="auto"/>
        <w:jc w:val="right"/>
        <w:tblInd w:w="0" w:type="dxa"/>
        <w:tblCellMar>
          <w:top w:w="14" w:type="dxa"/>
          <w:left w:w="4" w:type="dxa"/>
        </w:tblCellMar>
        <w:tblLook w:val="04A0" w:firstRow="1" w:lastRow="0" w:firstColumn="1" w:lastColumn="0" w:noHBand="0" w:noVBand="1"/>
      </w:tblPr>
      <w:tblGrid>
        <w:gridCol w:w="808"/>
        <w:gridCol w:w="1362"/>
        <w:gridCol w:w="4290"/>
        <w:gridCol w:w="2291"/>
      </w:tblGrid>
      <w:tr w:rsidR="004D0ED5" w:rsidRPr="00E906FA" w14:paraId="5BB5DB2A" w14:textId="77777777" w:rsidTr="00670D65">
        <w:trPr>
          <w:trHeight w:val="304"/>
          <w:jc w:val="right"/>
        </w:trPr>
        <w:tc>
          <w:tcPr>
            <w:tcW w:w="808" w:type="dxa"/>
            <w:tcBorders>
              <w:top w:val="single" w:sz="6" w:space="0" w:color="000000"/>
              <w:left w:val="single" w:sz="6" w:space="0" w:color="000000"/>
              <w:bottom w:val="single" w:sz="6" w:space="0" w:color="000000"/>
              <w:right w:val="single" w:sz="6" w:space="0" w:color="000000"/>
            </w:tcBorders>
            <w:shd w:val="clear" w:color="auto" w:fill="DAEDF3"/>
            <w:vAlign w:val="center"/>
          </w:tcPr>
          <w:p w14:paraId="51EB6AA8" w14:textId="77777777" w:rsidR="004D0ED5" w:rsidRPr="00E906FA" w:rsidRDefault="004D0ED5" w:rsidP="00124406">
            <w:pPr>
              <w:spacing w:line="259" w:lineRule="auto"/>
              <w:ind w:left="154"/>
              <w:jc w:val="center"/>
              <w:rPr>
                <w:rFonts w:asciiTheme="minorHAnsi" w:hAnsiTheme="minorHAnsi" w:cstheme="minorHAnsi"/>
                <w:b/>
                <w:sz w:val="20"/>
                <w:szCs w:val="20"/>
              </w:rPr>
            </w:pPr>
          </w:p>
          <w:p w14:paraId="4F6786B2" w14:textId="77777777" w:rsidR="004D0ED5" w:rsidRPr="00E906FA" w:rsidRDefault="004D0ED5" w:rsidP="00124406">
            <w:pPr>
              <w:spacing w:line="259" w:lineRule="auto"/>
              <w:ind w:left="154"/>
              <w:jc w:val="center"/>
              <w:rPr>
                <w:rFonts w:asciiTheme="minorHAnsi" w:hAnsiTheme="minorHAnsi" w:cstheme="minorHAnsi"/>
                <w:b/>
                <w:sz w:val="20"/>
                <w:szCs w:val="20"/>
              </w:rPr>
            </w:pPr>
          </w:p>
          <w:p w14:paraId="51A7486F" w14:textId="77777777" w:rsidR="004D0ED5" w:rsidRPr="00E906FA" w:rsidRDefault="004D0ED5" w:rsidP="00124406">
            <w:pPr>
              <w:spacing w:line="259" w:lineRule="auto"/>
              <w:ind w:left="154"/>
              <w:jc w:val="center"/>
              <w:rPr>
                <w:rFonts w:asciiTheme="minorHAnsi" w:hAnsiTheme="minorHAnsi" w:cstheme="minorHAnsi"/>
                <w:sz w:val="20"/>
                <w:szCs w:val="20"/>
              </w:rPr>
            </w:pPr>
          </w:p>
        </w:tc>
        <w:tc>
          <w:tcPr>
            <w:tcW w:w="1362" w:type="dxa"/>
            <w:tcBorders>
              <w:top w:val="single" w:sz="6" w:space="0" w:color="000000"/>
              <w:left w:val="single" w:sz="6" w:space="0" w:color="000000"/>
              <w:bottom w:val="single" w:sz="6" w:space="0" w:color="000000"/>
              <w:right w:val="single" w:sz="6" w:space="0" w:color="000000"/>
            </w:tcBorders>
            <w:shd w:val="clear" w:color="auto" w:fill="DAEDF3"/>
            <w:vAlign w:val="center"/>
          </w:tcPr>
          <w:p w14:paraId="1992A823" w14:textId="77777777" w:rsidR="004D0ED5" w:rsidRPr="008F714B" w:rsidRDefault="004D0ED5" w:rsidP="00124406">
            <w:pPr>
              <w:spacing w:line="259" w:lineRule="auto"/>
              <w:ind w:right="6"/>
              <w:jc w:val="center"/>
              <w:rPr>
                <w:rFonts w:asciiTheme="minorHAnsi" w:hAnsiTheme="minorHAnsi" w:cstheme="minorHAnsi"/>
                <w:szCs w:val="24"/>
              </w:rPr>
            </w:pPr>
            <w:r w:rsidRPr="008F714B">
              <w:rPr>
                <w:rFonts w:asciiTheme="minorHAnsi" w:hAnsiTheme="minorHAnsi" w:cstheme="minorHAnsi"/>
                <w:b/>
                <w:szCs w:val="24"/>
              </w:rPr>
              <w:t>Descripción</w:t>
            </w:r>
          </w:p>
        </w:tc>
        <w:tc>
          <w:tcPr>
            <w:tcW w:w="4290" w:type="dxa"/>
            <w:tcBorders>
              <w:top w:val="single" w:sz="6" w:space="0" w:color="000000"/>
              <w:left w:val="single" w:sz="6" w:space="0" w:color="000000"/>
              <w:bottom w:val="single" w:sz="6" w:space="0" w:color="000000"/>
              <w:right w:val="single" w:sz="6" w:space="0" w:color="000000"/>
            </w:tcBorders>
            <w:shd w:val="clear" w:color="auto" w:fill="DAEDF3"/>
            <w:vAlign w:val="center"/>
          </w:tcPr>
          <w:p w14:paraId="2A490A14" w14:textId="77777777" w:rsidR="004D0ED5" w:rsidRPr="008F714B" w:rsidRDefault="004D0ED5" w:rsidP="00124406">
            <w:pPr>
              <w:spacing w:line="259" w:lineRule="auto"/>
              <w:ind w:right="1"/>
              <w:jc w:val="center"/>
              <w:rPr>
                <w:rFonts w:asciiTheme="minorHAnsi" w:hAnsiTheme="minorHAnsi" w:cstheme="minorHAnsi"/>
                <w:szCs w:val="24"/>
              </w:rPr>
            </w:pPr>
            <w:r w:rsidRPr="008F714B">
              <w:rPr>
                <w:rFonts w:asciiTheme="minorHAnsi" w:hAnsiTheme="minorHAnsi" w:cstheme="minorHAnsi"/>
                <w:b/>
                <w:szCs w:val="24"/>
              </w:rPr>
              <w:t>Detalle</w:t>
            </w:r>
          </w:p>
        </w:tc>
        <w:tc>
          <w:tcPr>
            <w:tcW w:w="2291" w:type="dxa"/>
            <w:tcBorders>
              <w:top w:val="single" w:sz="6" w:space="0" w:color="000000"/>
              <w:left w:val="single" w:sz="6" w:space="0" w:color="000000"/>
              <w:bottom w:val="single" w:sz="6" w:space="0" w:color="000000"/>
              <w:right w:val="single" w:sz="6" w:space="0" w:color="000000"/>
            </w:tcBorders>
            <w:shd w:val="clear" w:color="auto" w:fill="DAEDF3"/>
            <w:vAlign w:val="center"/>
          </w:tcPr>
          <w:p w14:paraId="4F14600E" w14:textId="77777777" w:rsidR="004D0ED5" w:rsidRPr="008F714B" w:rsidRDefault="004D0ED5" w:rsidP="00124406">
            <w:pPr>
              <w:spacing w:line="259" w:lineRule="auto"/>
              <w:ind w:right="9"/>
              <w:jc w:val="center"/>
              <w:rPr>
                <w:rFonts w:asciiTheme="minorHAnsi" w:hAnsiTheme="minorHAnsi" w:cstheme="minorHAnsi"/>
                <w:b/>
                <w:szCs w:val="24"/>
              </w:rPr>
            </w:pPr>
            <w:r w:rsidRPr="008F714B">
              <w:rPr>
                <w:rFonts w:asciiTheme="minorHAnsi" w:hAnsiTheme="minorHAnsi" w:cstheme="minorHAnsi"/>
                <w:b/>
                <w:szCs w:val="24"/>
              </w:rPr>
              <w:t xml:space="preserve">Horario </w:t>
            </w:r>
          </w:p>
        </w:tc>
      </w:tr>
      <w:tr w:rsidR="004D0ED5" w:rsidRPr="00E906FA" w14:paraId="11F0AFD9" w14:textId="77777777" w:rsidTr="00670D65">
        <w:trPr>
          <w:trHeight w:val="893"/>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6AA5D18B" w14:textId="77777777" w:rsidR="004D0ED5" w:rsidRPr="00E906FA" w:rsidRDefault="004D0ED5" w:rsidP="00124406">
            <w:pPr>
              <w:spacing w:line="259" w:lineRule="auto"/>
              <w:jc w:val="center"/>
              <w:rPr>
                <w:rFonts w:asciiTheme="minorHAnsi" w:hAnsiTheme="minorHAnsi" w:cstheme="minorHAnsi"/>
                <w:b/>
                <w:bCs/>
                <w:sz w:val="20"/>
                <w:szCs w:val="20"/>
              </w:rPr>
            </w:pPr>
          </w:p>
          <w:p w14:paraId="7664A1ED" w14:textId="075C03FA" w:rsidR="004D0ED5" w:rsidRPr="00E906FA" w:rsidRDefault="00670D65" w:rsidP="00124406">
            <w:pPr>
              <w:spacing w:line="259" w:lineRule="auto"/>
              <w:ind w:left="113"/>
              <w:jc w:val="center"/>
              <w:rPr>
                <w:rFonts w:asciiTheme="minorHAnsi" w:hAnsiTheme="minorHAnsi" w:cstheme="minorHAnsi"/>
                <w:b/>
                <w:bCs/>
                <w:sz w:val="20"/>
                <w:szCs w:val="20"/>
              </w:rPr>
            </w:pPr>
            <w:r w:rsidRPr="00E906FA">
              <w:rPr>
                <w:rFonts w:asciiTheme="minorHAnsi" w:hAnsiTheme="minorHAnsi" w:cstheme="minorHAnsi"/>
                <w:b/>
                <w:bCs/>
                <w:sz w:val="20"/>
                <w:szCs w:val="20"/>
              </w:rPr>
              <w:t>Fase</w:t>
            </w:r>
            <w:r w:rsidR="00590388" w:rsidRPr="00E906FA">
              <w:rPr>
                <w:rFonts w:asciiTheme="minorHAnsi" w:hAnsiTheme="minorHAnsi" w:cstheme="minorHAnsi"/>
                <w:b/>
                <w:bCs/>
                <w:sz w:val="20"/>
                <w:szCs w:val="20"/>
              </w:rPr>
              <w:t xml:space="preserve"> 1</w:t>
            </w:r>
          </w:p>
        </w:tc>
        <w:tc>
          <w:tcPr>
            <w:tcW w:w="1362" w:type="dxa"/>
            <w:tcBorders>
              <w:top w:val="single" w:sz="6" w:space="0" w:color="000000"/>
              <w:left w:val="single" w:sz="6" w:space="0" w:color="000000"/>
              <w:bottom w:val="single" w:sz="6" w:space="0" w:color="000000"/>
              <w:right w:val="single" w:sz="6" w:space="0" w:color="000000"/>
            </w:tcBorders>
            <w:vAlign w:val="center"/>
          </w:tcPr>
          <w:p w14:paraId="0DA4F889" w14:textId="77777777" w:rsidR="004D0ED5" w:rsidRPr="00E906FA" w:rsidRDefault="004D0ED5" w:rsidP="00124406">
            <w:pPr>
              <w:spacing w:line="259" w:lineRule="auto"/>
              <w:ind w:left="3"/>
              <w:jc w:val="center"/>
              <w:rPr>
                <w:rFonts w:asciiTheme="minorHAnsi" w:hAnsiTheme="minorHAnsi" w:cstheme="minorHAnsi"/>
                <w:sz w:val="20"/>
                <w:szCs w:val="20"/>
              </w:rPr>
            </w:pPr>
          </w:p>
          <w:p w14:paraId="0CDF67EE" w14:textId="28F7C417" w:rsidR="004D0ED5" w:rsidRPr="00E906FA" w:rsidRDefault="00590388" w:rsidP="00124406">
            <w:pPr>
              <w:spacing w:line="259" w:lineRule="auto"/>
              <w:ind w:right="4"/>
              <w:jc w:val="center"/>
              <w:rPr>
                <w:rFonts w:asciiTheme="minorHAnsi" w:hAnsiTheme="minorHAnsi" w:cstheme="minorHAnsi"/>
                <w:sz w:val="20"/>
                <w:szCs w:val="20"/>
              </w:rPr>
            </w:pPr>
            <w:r w:rsidRPr="00E906FA">
              <w:rPr>
                <w:rFonts w:asciiTheme="minorHAnsi" w:hAnsiTheme="minorHAnsi" w:cstheme="minorHAnsi"/>
                <w:sz w:val="20"/>
                <w:szCs w:val="20"/>
              </w:rPr>
              <w:t>Registro de operaciones salientes</w:t>
            </w:r>
          </w:p>
        </w:tc>
        <w:tc>
          <w:tcPr>
            <w:tcW w:w="4290" w:type="dxa"/>
            <w:tcBorders>
              <w:top w:val="single" w:sz="6" w:space="0" w:color="000000"/>
              <w:left w:val="single" w:sz="6" w:space="0" w:color="000000"/>
              <w:bottom w:val="single" w:sz="6" w:space="0" w:color="000000"/>
              <w:right w:val="single" w:sz="6" w:space="0" w:color="000000"/>
            </w:tcBorders>
            <w:vAlign w:val="center"/>
          </w:tcPr>
          <w:p w14:paraId="71A2C5DD" w14:textId="2A1123C2" w:rsidR="004D0ED5" w:rsidRPr="00E906FA" w:rsidRDefault="00330484" w:rsidP="00B716BB">
            <w:pPr>
              <w:spacing w:line="259" w:lineRule="auto"/>
              <w:ind w:right="4"/>
              <w:rPr>
                <w:rFonts w:asciiTheme="minorHAnsi" w:hAnsiTheme="minorHAnsi" w:cstheme="minorHAnsi"/>
                <w:sz w:val="20"/>
                <w:szCs w:val="20"/>
              </w:rPr>
            </w:pPr>
            <w:r w:rsidRPr="00E906FA">
              <w:rPr>
                <w:rFonts w:asciiTheme="minorHAnsi" w:hAnsiTheme="minorHAnsi" w:cstheme="minorHAnsi"/>
                <w:sz w:val="20"/>
                <w:szCs w:val="20"/>
              </w:rPr>
              <w:t>Cada una de las entidades autorizadas origen deberá ingresar al SEC y proceder a cargar los saldos acumulados en la cuenta individual de cada contrato, calculados al valor cuota del día hábil inmediato anterior, así como los demás datos que se requieran para el registro del traslado. En el momento en que carga de saldos sea oficializada por la Operadora no podrá modificarse.</w:t>
            </w:r>
          </w:p>
        </w:tc>
        <w:tc>
          <w:tcPr>
            <w:tcW w:w="2291" w:type="dxa"/>
            <w:tcBorders>
              <w:top w:val="single" w:sz="6" w:space="0" w:color="000000"/>
              <w:left w:val="single" w:sz="6" w:space="0" w:color="000000"/>
              <w:bottom w:val="single" w:sz="6" w:space="0" w:color="000000"/>
              <w:right w:val="single" w:sz="6" w:space="0" w:color="000000"/>
            </w:tcBorders>
            <w:vAlign w:val="center"/>
          </w:tcPr>
          <w:p w14:paraId="3A041566" w14:textId="24B72650" w:rsidR="000516AE" w:rsidRDefault="00D562B3" w:rsidP="000516AE">
            <w:pPr>
              <w:spacing w:line="259" w:lineRule="auto"/>
              <w:ind w:right="4"/>
              <w:jc w:val="center"/>
              <w:rPr>
                <w:rFonts w:asciiTheme="minorHAnsi" w:hAnsiTheme="minorHAnsi" w:cstheme="minorHAnsi"/>
                <w:sz w:val="20"/>
                <w:szCs w:val="20"/>
              </w:rPr>
            </w:pPr>
            <w:r w:rsidRPr="00E906FA">
              <w:rPr>
                <w:rFonts w:asciiTheme="minorHAnsi" w:hAnsiTheme="minorHAnsi" w:cstheme="minorHAnsi"/>
                <w:sz w:val="20"/>
                <w:szCs w:val="20"/>
              </w:rPr>
              <w:t>De 7:00 am a</w:t>
            </w:r>
          </w:p>
          <w:p w14:paraId="2EC68BDF" w14:textId="0049F173" w:rsidR="004D0ED5" w:rsidRPr="00E906FA" w:rsidRDefault="00D562B3" w:rsidP="000516AE">
            <w:pPr>
              <w:spacing w:line="259" w:lineRule="auto"/>
              <w:ind w:right="4"/>
              <w:jc w:val="center"/>
              <w:rPr>
                <w:rFonts w:asciiTheme="minorHAnsi" w:hAnsiTheme="minorHAnsi" w:cstheme="minorHAnsi"/>
                <w:sz w:val="20"/>
                <w:szCs w:val="20"/>
              </w:rPr>
            </w:pPr>
            <w:r w:rsidRPr="00E906FA">
              <w:rPr>
                <w:rFonts w:asciiTheme="minorHAnsi" w:hAnsiTheme="minorHAnsi" w:cstheme="minorHAnsi"/>
                <w:sz w:val="20"/>
                <w:szCs w:val="20"/>
              </w:rPr>
              <w:t>1:00 pm</w:t>
            </w:r>
            <w:r w:rsidR="00DB0CF3">
              <w:rPr>
                <w:rFonts w:asciiTheme="minorHAnsi" w:hAnsiTheme="minorHAnsi" w:cstheme="minorHAnsi"/>
                <w:sz w:val="20"/>
                <w:szCs w:val="20"/>
              </w:rPr>
              <w:t>. Con posterioridad a</w:t>
            </w:r>
            <w:r w:rsidRPr="00E906FA">
              <w:rPr>
                <w:rFonts w:asciiTheme="minorHAnsi" w:hAnsiTheme="minorHAnsi" w:cstheme="minorHAnsi"/>
                <w:sz w:val="20"/>
                <w:szCs w:val="20"/>
              </w:rPr>
              <w:t xml:space="preserve"> esa hora</w:t>
            </w:r>
            <w:r w:rsidR="00DB0CF3">
              <w:rPr>
                <w:rFonts w:asciiTheme="minorHAnsi" w:hAnsiTheme="minorHAnsi" w:cstheme="minorHAnsi"/>
                <w:sz w:val="20"/>
                <w:szCs w:val="20"/>
              </w:rPr>
              <w:t>,</w:t>
            </w:r>
            <w:r w:rsidRPr="00E906FA">
              <w:rPr>
                <w:rFonts w:asciiTheme="minorHAnsi" w:hAnsiTheme="minorHAnsi" w:cstheme="minorHAnsi"/>
                <w:sz w:val="20"/>
                <w:szCs w:val="20"/>
              </w:rPr>
              <w:t xml:space="preserve"> no se podrá oficializar</w:t>
            </w:r>
            <w:r w:rsidR="00B716BB">
              <w:rPr>
                <w:rFonts w:asciiTheme="minorHAnsi" w:hAnsiTheme="minorHAnsi" w:cstheme="minorHAnsi"/>
                <w:sz w:val="20"/>
                <w:szCs w:val="20"/>
              </w:rPr>
              <w:t>. E</w:t>
            </w:r>
            <w:r w:rsidR="0067075E">
              <w:rPr>
                <w:rFonts w:asciiTheme="minorHAnsi" w:hAnsiTheme="minorHAnsi" w:cstheme="minorHAnsi"/>
                <w:sz w:val="20"/>
                <w:szCs w:val="20"/>
              </w:rPr>
              <w:t xml:space="preserve">l </w:t>
            </w:r>
            <w:r w:rsidRPr="00E906FA">
              <w:rPr>
                <w:rFonts w:asciiTheme="minorHAnsi" w:hAnsiTheme="minorHAnsi" w:cstheme="minorHAnsi"/>
                <w:sz w:val="20"/>
                <w:szCs w:val="20"/>
              </w:rPr>
              <w:t>cierre se realizará a la 1:15 pm.</w:t>
            </w:r>
          </w:p>
        </w:tc>
      </w:tr>
      <w:tr w:rsidR="00670D65" w:rsidRPr="00E906FA" w14:paraId="799D26E4" w14:textId="77777777" w:rsidTr="00670D65">
        <w:trPr>
          <w:trHeight w:val="893"/>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34EB49EC" w14:textId="0596F918" w:rsidR="00670D65" w:rsidRPr="00E906FA" w:rsidRDefault="00670D65" w:rsidP="00124406">
            <w:pPr>
              <w:spacing w:line="259" w:lineRule="auto"/>
              <w:jc w:val="center"/>
              <w:rPr>
                <w:rFonts w:asciiTheme="minorHAnsi" w:hAnsiTheme="minorHAnsi" w:cstheme="minorHAnsi"/>
                <w:b/>
                <w:bCs/>
                <w:sz w:val="20"/>
                <w:szCs w:val="20"/>
              </w:rPr>
            </w:pPr>
            <w:r w:rsidRPr="00E906FA">
              <w:rPr>
                <w:rFonts w:asciiTheme="minorHAnsi" w:hAnsiTheme="minorHAnsi" w:cstheme="minorHAnsi"/>
                <w:b/>
                <w:bCs/>
                <w:sz w:val="20"/>
                <w:szCs w:val="20"/>
              </w:rPr>
              <w:t>Fase</w:t>
            </w:r>
            <w:r w:rsidR="00590388" w:rsidRPr="00E906FA">
              <w:rPr>
                <w:rFonts w:asciiTheme="minorHAnsi" w:hAnsiTheme="minorHAnsi" w:cstheme="minorHAnsi"/>
                <w:b/>
                <w:bCs/>
                <w:sz w:val="20"/>
                <w:szCs w:val="20"/>
              </w:rPr>
              <w:t xml:space="preserve"> 2</w:t>
            </w:r>
          </w:p>
        </w:tc>
        <w:tc>
          <w:tcPr>
            <w:tcW w:w="1362" w:type="dxa"/>
            <w:tcBorders>
              <w:top w:val="single" w:sz="6" w:space="0" w:color="000000"/>
              <w:left w:val="single" w:sz="6" w:space="0" w:color="000000"/>
              <w:bottom w:val="single" w:sz="6" w:space="0" w:color="000000"/>
              <w:right w:val="single" w:sz="6" w:space="0" w:color="000000"/>
            </w:tcBorders>
            <w:vAlign w:val="center"/>
          </w:tcPr>
          <w:p w14:paraId="417FB262" w14:textId="67139471" w:rsidR="00670D65" w:rsidRPr="00E906FA" w:rsidRDefault="00D562B3" w:rsidP="00124406">
            <w:pPr>
              <w:spacing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Cálculo de posición bilateral</w:t>
            </w:r>
          </w:p>
        </w:tc>
        <w:tc>
          <w:tcPr>
            <w:tcW w:w="4290" w:type="dxa"/>
            <w:tcBorders>
              <w:top w:val="single" w:sz="6" w:space="0" w:color="000000"/>
              <w:left w:val="single" w:sz="6" w:space="0" w:color="000000"/>
              <w:bottom w:val="single" w:sz="6" w:space="0" w:color="000000"/>
              <w:right w:val="single" w:sz="6" w:space="0" w:color="000000"/>
            </w:tcBorders>
            <w:vAlign w:val="center"/>
          </w:tcPr>
          <w:p w14:paraId="5AEB36A9" w14:textId="4293A9BC" w:rsidR="00670D65" w:rsidRPr="00E906FA" w:rsidRDefault="00953995" w:rsidP="00B716BB">
            <w:pPr>
              <w:spacing w:line="259" w:lineRule="auto"/>
              <w:ind w:left="105" w:right="108"/>
              <w:rPr>
                <w:rFonts w:asciiTheme="minorHAnsi" w:hAnsiTheme="minorHAnsi" w:cstheme="minorHAnsi"/>
                <w:sz w:val="20"/>
                <w:szCs w:val="20"/>
              </w:rPr>
            </w:pPr>
            <w:r w:rsidRPr="00E906FA">
              <w:rPr>
                <w:rFonts w:asciiTheme="minorHAnsi" w:hAnsiTheme="minorHAnsi" w:cstheme="minorHAnsi"/>
                <w:sz w:val="20"/>
                <w:szCs w:val="20"/>
              </w:rPr>
              <w:t>El SEC ejecutará un proceso de cierre en el cual se compensarán las operaciones entrantes y salientes de cada entidad, generando una posición neta para cada entidad participante (acreedora o deudora).</w:t>
            </w:r>
          </w:p>
        </w:tc>
        <w:tc>
          <w:tcPr>
            <w:tcW w:w="2291" w:type="dxa"/>
            <w:tcBorders>
              <w:top w:val="single" w:sz="6" w:space="0" w:color="000000"/>
              <w:left w:val="single" w:sz="6" w:space="0" w:color="000000"/>
              <w:bottom w:val="single" w:sz="6" w:space="0" w:color="000000"/>
              <w:right w:val="single" w:sz="6" w:space="0" w:color="000000"/>
            </w:tcBorders>
            <w:vAlign w:val="center"/>
          </w:tcPr>
          <w:p w14:paraId="0C9CE22A" w14:textId="3F6B845B" w:rsidR="00670D65" w:rsidRPr="00E906FA" w:rsidRDefault="00953995" w:rsidP="00124406">
            <w:pPr>
              <w:spacing w:line="259" w:lineRule="auto"/>
              <w:ind w:right="110"/>
              <w:jc w:val="center"/>
              <w:rPr>
                <w:rFonts w:asciiTheme="minorHAnsi" w:hAnsiTheme="minorHAnsi" w:cstheme="minorHAnsi"/>
                <w:sz w:val="20"/>
                <w:szCs w:val="20"/>
              </w:rPr>
            </w:pPr>
            <w:r w:rsidRPr="00E906FA">
              <w:rPr>
                <w:rFonts w:asciiTheme="minorHAnsi" w:hAnsiTheme="minorHAnsi" w:cstheme="minorHAnsi"/>
                <w:sz w:val="20"/>
                <w:szCs w:val="20"/>
              </w:rPr>
              <w:t>A la 1:15 pm</w:t>
            </w:r>
          </w:p>
        </w:tc>
      </w:tr>
      <w:tr w:rsidR="00670D65" w:rsidRPr="00E906FA" w14:paraId="253179B2" w14:textId="77777777" w:rsidTr="00670D65">
        <w:trPr>
          <w:trHeight w:val="893"/>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0B1240ED" w14:textId="741DAD66" w:rsidR="00670D65" w:rsidRPr="00E906FA" w:rsidRDefault="000F6F9E" w:rsidP="00124406">
            <w:pPr>
              <w:spacing w:line="259" w:lineRule="auto"/>
              <w:jc w:val="center"/>
              <w:rPr>
                <w:rFonts w:asciiTheme="minorHAnsi" w:hAnsiTheme="minorHAnsi" w:cstheme="minorHAnsi"/>
                <w:b/>
                <w:bCs/>
                <w:sz w:val="20"/>
                <w:szCs w:val="20"/>
              </w:rPr>
            </w:pPr>
            <w:r w:rsidRPr="00E906FA">
              <w:rPr>
                <w:rFonts w:asciiTheme="minorHAnsi" w:hAnsiTheme="minorHAnsi" w:cstheme="minorHAnsi"/>
                <w:b/>
                <w:bCs/>
                <w:sz w:val="20"/>
                <w:szCs w:val="20"/>
              </w:rPr>
              <w:t>Fase</w:t>
            </w:r>
            <w:r w:rsidR="00590388" w:rsidRPr="00E906FA">
              <w:rPr>
                <w:rFonts w:asciiTheme="minorHAnsi" w:hAnsiTheme="minorHAnsi" w:cstheme="minorHAnsi"/>
                <w:b/>
                <w:bCs/>
                <w:sz w:val="20"/>
                <w:szCs w:val="20"/>
              </w:rPr>
              <w:t xml:space="preserve"> 3</w:t>
            </w:r>
          </w:p>
        </w:tc>
        <w:tc>
          <w:tcPr>
            <w:tcW w:w="1362" w:type="dxa"/>
            <w:tcBorders>
              <w:top w:val="single" w:sz="6" w:space="0" w:color="000000"/>
              <w:left w:val="single" w:sz="6" w:space="0" w:color="000000"/>
              <w:bottom w:val="single" w:sz="6" w:space="0" w:color="000000"/>
              <w:right w:val="single" w:sz="6" w:space="0" w:color="000000"/>
            </w:tcBorders>
            <w:vAlign w:val="center"/>
          </w:tcPr>
          <w:p w14:paraId="56517D91" w14:textId="5412E2C3" w:rsidR="00670D65" w:rsidRPr="00E906FA" w:rsidRDefault="00953995" w:rsidP="00124406">
            <w:pPr>
              <w:spacing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Transmisión electrónica</w:t>
            </w:r>
            <w:r w:rsidR="00ED53C7" w:rsidRPr="00E906FA">
              <w:rPr>
                <w:rFonts w:asciiTheme="minorHAnsi" w:hAnsiTheme="minorHAnsi" w:cstheme="minorHAnsi"/>
                <w:sz w:val="20"/>
                <w:szCs w:val="20"/>
              </w:rPr>
              <w:t xml:space="preserve"> del resultado bilateral neto</w:t>
            </w:r>
          </w:p>
        </w:tc>
        <w:tc>
          <w:tcPr>
            <w:tcW w:w="4290" w:type="dxa"/>
            <w:tcBorders>
              <w:top w:val="single" w:sz="6" w:space="0" w:color="000000"/>
              <w:left w:val="single" w:sz="6" w:space="0" w:color="000000"/>
              <w:bottom w:val="single" w:sz="6" w:space="0" w:color="000000"/>
              <w:right w:val="single" w:sz="6" w:space="0" w:color="000000"/>
            </w:tcBorders>
            <w:vAlign w:val="center"/>
          </w:tcPr>
          <w:p w14:paraId="0F4B09BB" w14:textId="0523C6CF" w:rsidR="00670D65" w:rsidRPr="00E906FA" w:rsidRDefault="00ED53C7" w:rsidP="00B716BB">
            <w:pPr>
              <w:spacing w:line="259" w:lineRule="auto"/>
              <w:ind w:left="105" w:right="108"/>
              <w:rPr>
                <w:rFonts w:asciiTheme="minorHAnsi" w:hAnsiTheme="minorHAnsi" w:cstheme="minorHAnsi"/>
                <w:sz w:val="20"/>
                <w:szCs w:val="20"/>
              </w:rPr>
            </w:pPr>
            <w:r w:rsidRPr="00E906FA">
              <w:rPr>
                <w:rFonts w:asciiTheme="minorHAnsi" w:hAnsiTheme="minorHAnsi" w:cstheme="minorHAnsi"/>
                <w:sz w:val="20"/>
                <w:szCs w:val="20"/>
              </w:rPr>
              <w:t>El SEC trasladará al SINPE la información de los resultados bilaterales netos a efecto de que se ejecuten los traslados de recursos.</w:t>
            </w:r>
          </w:p>
        </w:tc>
        <w:tc>
          <w:tcPr>
            <w:tcW w:w="2291" w:type="dxa"/>
            <w:tcBorders>
              <w:top w:val="single" w:sz="6" w:space="0" w:color="000000"/>
              <w:left w:val="single" w:sz="6" w:space="0" w:color="000000"/>
              <w:bottom w:val="single" w:sz="6" w:space="0" w:color="000000"/>
              <w:right w:val="single" w:sz="6" w:space="0" w:color="000000"/>
            </w:tcBorders>
            <w:vAlign w:val="center"/>
          </w:tcPr>
          <w:p w14:paraId="4CC10D8B" w14:textId="6C6A5524" w:rsidR="00670D65" w:rsidRPr="00E906FA" w:rsidRDefault="00940808" w:rsidP="00124406">
            <w:pPr>
              <w:spacing w:line="259" w:lineRule="auto"/>
              <w:ind w:right="110"/>
              <w:jc w:val="center"/>
              <w:rPr>
                <w:rFonts w:asciiTheme="minorHAnsi" w:hAnsiTheme="minorHAnsi" w:cstheme="minorHAnsi"/>
                <w:sz w:val="20"/>
                <w:szCs w:val="20"/>
              </w:rPr>
            </w:pPr>
            <w:r w:rsidRPr="00E906FA">
              <w:rPr>
                <w:rFonts w:asciiTheme="minorHAnsi" w:hAnsiTheme="minorHAnsi" w:cstheme="minorHAnsi"/>
                <w:sz w:val="20"/>
                <w:szCs w:val="20"/>
              </w:rPr>
              <w:t>De 1:30 pm a 2:30 pm</w:t>
            </w:r>
          </w:p>
        </w:tc>
      </w:tr>
      <w:tr w:rsidR="00670D65" w:rsidRPr="00E906FA" w14:paraId="5CD256D6" w14:textId="77777777" w:rsidTr="00670D65">
        <w:trPr>
          <w:trHeight w:val="893"/>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5768C16C" w14:textId="279C68D2" w:rsidR="00670D65" w:rsidRPr="00E906FA" w:rsidRDefault="00590388" w:rsidP="00124406">
            <w:pPr>
              <w:spacing w:line="259" w:lineRule="auto"/>
              <w:jc w:val="center"/>
              <w:rPr>
                <w:rFonts w:asciiTheme="minorHAnsi" w:hAnsiTheme="minorHAnsi" w:cstheme="minorHAnsi"/>
                <w:b/>
                <w:bCs/>
                <w:sz w:val="20"/>
                <w:szCs w:val="20"/>
              </w:rPr>
            </w:pPr>
            <w:r w:rsidRPr="00E906FA">
              <w:rPr>
                <w:rFonts w:asciiTheme="minorHAnsi" w:hAnsiTheme="minorHAnsi" w:cstheme="minorHAnsi"/>
                <w:b/>
                <w:bCs/>
                <w:sz w:val="20"/>
                <w:szCs w:val="20"/>
              </w:rPr>
              <w:t>Fase 4</w:t>
            </w:r>
          </w:p>
        </w:tc>
        <w:tc>
          <w:tcPr>
            <w:tcW w:w="1362" w:type="dxa"/>
            <w:tcBorders>
              <w:top w:val="single" w:sz="6" w:space="0" w:color="000000"/>
              <w:left w:val="single" w:sz="6" w:space="0" w:color="000000"/>
              <w:bottom w:val="single" w:sz="6" w:space="0" w:color="000000"/>
              <w:right w:val="single" w:sz="6" w:space="0" w:color="000000"/>
            </w:tcBorders>
            <w:vAlign w:val="center"/>
          </w:tcPr>
          <w:p w14:paraId="68D127DF" w14:textId="5D47F3BD" w:rsidR="00670D65" w:rsidRPr="00E906FA" w:rsidRDefault="00FF18CC" w:rsidP="00124406">
            <w:pPr>
              <w:spacing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Verificación de posición neta y fondeo de cuentas.</w:t>
            </w:r>
          </w:p>
        </w:tc>
        <w:tc>
          <w:tcPr>
            <w:tcW w:w="4290" w:type="dxa"/>
            <w:tcBorders>
              <w:top w:val="single" w:sz="6" w:space="0" w:color="000000"/>
              <w:left w:val="single" w:sz="6" w:space="0" w:color="000000"/>
              <w:bottom w:val="single" w:sz="6" w:space="0" w:color="000000"/>
              <w:right w:val="single" w:sz="6" w:space="0" w:color="000000"/>
            </w:tcBorders>
            <w:vAlign w:val="center"/>
          </w:tcPr>
          <w:p w14:paraId="3AF37579" w14:textId="297DC547" w:rsidR="00670D65" w:rsidRPr="00E906FA" w:rsidRDefault="00FF18CC" w:rsidP="00B716BB">
            <w:pPr>
              <w:spacing w:line="259" w:lineRule="auto"/>
              <w:ind w:left="105" w:right="108"/>
              <w:rPr>
                <w:rFonts w:asciiTheme="minorHAnsi" w:hAnsiTheme="minorHAnsi" w:cstheme="minorHAnsi"/>
                <w:sz w:val="20"/>
                <w:szCs w:val="20"/>
              </w:rPr>
            </w:pPr>
            <w:r w:rsidRPr="00E906FA">
              <w:rPr>
                <w:rFonts w:asciiTheme="minorHAnsi" w:hAnsiTheme="minorHAnsi" w:cstheme="minorHAnsi"/>
                <w:sz w:val="20"/>
                <w:szCs w:val="20"/>
              </w:rPr>
              <w:t>Cada una de las entidades autorizadas participantes dispondrá del resultado de sus traslados entrantes. Cada entidad autorizada deberá verificar su posición bruta y asegurar la disponibilidad de recursos en las cuentas de los fondos administrados para llevar a cabo la liquidación de las operaciones.</w:t>
            </w:r>
          </w:p>
        </w:tc>
        <w:tc>
          <w:tcPr>
            <w:tcW w:w="2291" w:type="dxa"/>
            <w:tcBorders>
              <w:top w:val="single" w:sz="6" w:space="0" w:color="000000"/>
              <w:left w:val="single" w:sz="6" w:space="0" w:color="000000"/>
              <w:bottom w:val="single" w:sz="6" w:space="0" w:color="000000"/>
              <w:right w:val="single" w:sz="6" w:space="0" w:color="000000"/>
            </w:tcBorders>
            <w:vAlign w:val="center"/>
          </w:tcPr>
          <w:p w14:paraId="28EE662B" w14:textId="66DE7828" w:rsidR="00670D65" w:rsidRPr="00E906FA" w:rsidRDefault="00940808" w:rsidP="00124406">
            <w:pPr>
              <w:spacing w:line="259" w:lineRule="auto"/>
              <w:ind w:right="110"/>
              <w:jc w:val="center"/>
              <w:rPr>
                <w:rFonts w:asciiTheme="minorHAnsi" w:hAnsiTheme="minorHAnsi" w:cstheme="minorHAnsi"/>
                <w:sz w:val="20"/>
                <w:szCs w:val="20"/>
              </w:rPr>
            </w:pPr>
            <w:r w:rsidRPr="00E906FA">
              <w:rPr>
                <w:rFonts w:asciiTheme="minorHAnsi" w:hAnsiTheme="minorHAnsi" w:cstheme="minorHAnsi"/>
                <w:sz w:val="20"/>
                <w:szCs w:val="20"/>
              </w:rPr>
              <w:t>De 1:15 pm a 2:30 pm.</w:t>
            </w:r>
          </w:p>
        </w:tc>
      </w:tr>
      <w:tr w:rsidR="00670D65" w:rsidRPr="00E906FA" w14:paraId="040CFD06" w14:textId="77777777" w:rsidTr="00670D65">
        <w:trPr>
          <w:trHeight w:val="893"/>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4E2ACB78" w14:textId="77777777" w:rsidR="00670D65" w:rsidRPr="00E906FA" w:rsidRDefault="00670D65" w:rsidP="00670D65">
            <w:pPr>
              <w:spacing w:line="259" w:lineRule="auto"/>
              <w:jc w:val="center"/>
              <w:rPr>
                <w:rFonts w:asciiTheme="minorHAnsi" w:hAnsiTheme="minorHAnsi" w:cstheme="minorHAnsi"/>
                <w:sz w:val="20"/>
                <w:szCs w:val="20"/>
              </w:rPr>
            </w:pPr>
          </w:p>
          <w:p w14:paraId="65B31368" w14:textId="5ACC91A9" w:rsidR="00670D65" w:rsidRPr="00E906FA" w:rsidRDefault="00670D65" w:rsidP="00670D65">
            <w:pPr>
              <w:spacing w:line="259" w:lineRule="auto"/>
              <w:jc w:val="center"/>
              <w:rPr>
                <w:rFonts w:asciiTheme="minorHAnsi" w:hAnsiTheme="minorHAnsi" w:cstheme="minorHAnsi"/>
                <w:sz w:val="20"/>
                <w:szCs w:val="20"/>
              </w:rPr>
            </w:pPr>
            <w:r w:rsidRPr="00E906FA">
              <w:rPr>
                <w:rFonts w:asciiTheme="minorHAnsi" w:hAnsiTheme="minorHAnsi" w:cstheme="minorHAnsi"/>
                <w:b/>
                <w:sz w:val="20"/>
                <w:szCs w:val="20"/>
              </w:rPr>
              <w:t>Fase 5</w:t>
            </w:r>
          </w:p>
        </w:tc>
        <w:tc>
          <w:tcPr>
            <w:tcW w:w="1362" w:type="dxa"/>
            <w:tcBorders>
              <w:top w:val="single" w:sz="6" w:space="0" w:color="000000"/>
              <w:left w:val="single" w:sz="6" w:space="0" w:color="000000"/>
              <w:bottom w:val="single" w:sz="6" w:space="0" w:color="000000"/>
              <w:right w:val="single" w:sz="6" w:space="0" w:color="000000"/>
            </w:tcBorders>
            <w:vAlign w:val="center"/>
          </w:tcPr>
          <w:p w14:paraId="74FCDCC7" w14:textId="77777777" w:rsidR="00670D65" w:rsidRPr="00E906FA" w:rsidRDefault="00670D65" w:rsidP="00670D65">
            <w:pPr>
              <w:spacing w:line="259" w:lineRule="auto"/>
              <w:ind w:left="3"/>
              <w:jc w:val="center"/>
              <w:rPr>
                <w:rFonts w:asciiTheme="minorHAnsi" w:hAnsiTheme="minorHAnsi" w:cstheme="minorHAnsi"/>
                <w:sz w:val="20"/>
                <w:szCs w:val="20"/>
              </w:rPr>
            </w:pPr>
          </w:p>
          <w:p w14:paraId="21FC59B2" w14:textId="23AEBD13" w:rsidR="00670D65" w:rsidRPr="00E906FA" w:rsidRDefault="00670D65" w:rsidP="00670D65">
            <w:pPr>
              <w:spacing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Retención</w:t>
            </w:r>
          </w:p>
        </w:tc>
        <w:tc>
          <w:tcPr>
            <w:tcW w:w="4290" w:type="dxa"/>
            <w:tcBorders>
              <w:top w:val="single" w:sz="6" w:space="0" w:color="000000"/>
              <w:left w:val="single" w:sz="6" w:space="0" w:color="000000"/>
              <w:bottom w:val="single" w:sz="6" w:space="0" w:color="000000"/>
              <w:right w:val="single" w:sz="6" w:space="0" w:color="000000"/>
            </w:tcBorders>
            <w:vAlign w:val="center"/>
          </w:tcPr>
          <w:p w14:paraId="6909BE21" w14:textId="01984245" w:rsidR="00670D65" w:rsidRPr="00E906FA" w:rsidRDefault="00670D65" w:rsidP="00B716BB">
            <w:pPr>
              <w:spacing w:line="259" w:lineRule="auto"/>
              <w:ind w:left="105" w:right="108"/>
              <w:rPr>
                <w:rFonts w:asciiTheme="minorHAnsi" w:hAnsiTheme="minorHAnsi" w:cstheme="minorHAnsi"/>
                <w:sz w:val="20"/>
                <w:szCs w:val="20"/>
              </w:rPr>
            </w:pPr>
            <w:r w:rsidRPr="00E906FA">
              <w:rPr>
                <w:rFonts w:asciiTheme="minorHAnsi" w:hAnsiTheme="minorHAnsi" w:cstheme="minorHAnsi"/>
                <w:sz w:val="20"/>
                <w:szCs w:val="20"/>
              </w:rPr>
              <w:t>Se procede a retener los fondos sobre la Cuenta SINPE de cada una de las entidades participantes.</w:t>
            </w:r>
          </w:p>
        </w:tc>
        <w:tc>
          <w:tcPr>
            <w:tcW w:w="2291" w:type="dxa"/>
            <w:tcBorders>
              <w:top w:val="single" w:sz="6" w:space="0" w:color="000000"/>
              <w:left w:val="single" w:sz="6" w:space="0" w:color="000000"/>
              <w:bottom w:val="single" w:sz="6" w:space="0" w:color="000000"/>
              <w:right w:val="single" w:sz="6" w:space="0" w:color="000000"/>
            </w:tcBorders>
            <w:vAlign w:val="center"/>
          </w:tcPr>
          <w:p w14:paraId="493305AA" w14:textId="77777777" w:rsidR="00670D65" w:rsidRPr="00E906FA" w:rsidRDefault="00670D65" w:rsidP="00670D65">
            <w:pPr>
              <w:spacing w:line="259" w:lineRule="auto"/>
              <w:ind w:right="110"/>
              <w:jc w:val="center"/>
              <w:rPr>
                <w:rFonts w:asciiTheme="minorHAnsi" w:hAnsiTheme="minorHAnsi" w:cstheme="minorHAnsi"/>
                <w:sz w:val="20"/>
                <w:szCs w:val="20"/>
              </w:rPr>
            </w:pPr>
            <w:r w:rsidRPr="00E906FA">
              <w:rPr>
                <w:rFonts w:asciiTheme="minorHAnsi" w:hAnsiTheme="minorHAnsi" w:cstheme="minorHAnsi"/>
                <w:sz w:val="20"/>
                <w:szCs w:val="20"/>
              </w:rPr>
              <w:t>De 2:30 pm a</w:t>
            </w:r>
          </w:p>
          <w:p w14:paraId="35CFE83B" w14:textId="456D383B" w:rsidR="00670D65" w:rsidRPr="00E906FA" w:rsidRDefault="00670D65" w:rsidP="00670D65">
            <w:pPr>
              <w:spacing w:line="259" w:lineRule="auto"/>
              <w:ind w:right="110"/>
              <w:jc w:val="center"/>
              <w:rPr>
                <w:rFonts w:asciiTheme="minorHAnsi" w:hAnsiTheme="minorHAnsi" w:cstheme="minorHAnsi"/>
                <w:sz w:val="20"/>
                <w:szCs w:val="20"/>
              </w:rPr>
            </w:pPr>
            <w:r w:rsidRPr="00E906FA">
              <w:rPr>
                <w:rFonts w:asciiTheme="minorHAnsi" w:hAnsiTheme="minorHAnsi" w:cstheme="minorHAnsi"/>
                <w:sz w:val="20"/>
                <w:szCs w:val="20"/>
              </w:rPr>
              <w:t>3.00 pm</w:t>
            </w:r>
          </w:p>
        </w:tc>
      </w:tr>
      <w:tr w:rsidR="00670D65" w:rsidRPr="00E906FA" w14:paraId="2CC729D2" w14:textId="77777777" w:rsidTr="00670D65">
        <w:trPr>
          <w:trHeight w:val="1188"/>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5996D665" w14:textId="77777777" w:rsidR="00670D65" w:rsidRPr="00E906FA" w:rsidRDefault="00670D65" w:rsidP="00670D65">
            <w:pPr>
              <w:spacing w:after="134" w:line="259" w:lineRule="auto"/>
              <w:jc w:val="center"/>
              <w:rPr>
                <w:rFonts w:asciiTheme="minorHAnsi" w:hAnsiTheme="minorHAnsi" w:cstheme="minorHAnsi"/>
                <w:sz w:val="20"/>
                <w:szCs w:val="20"/>
              </w:rPr>
            </w:pPr>
          </w:p>
          <w:p w14:paraId="0AABD43C" w14:textId="77777777" w:rsidR="00670D65" w:rsidRPr="00E906FA" w:rsidRDefault="00670D65" w:rsidP="00670D65">
            <w:pPr>
              <w:spacing w:line="259" w:lineRule="auto"/>
              <w:ind w:left="113"/>
              <w:jc w:val="center"/>
              <w:rPr>
                <w:rFonts w:asciiTheme="minorHAnsi" w:hAnsiTheme="minorHAnsi" w:cstheme="minorHAnsi"/>
                <w:sz w:val="20"/>
                <w:szCs w:val="20"/>
              </w:rPr>
            </w:pPr>
            <w:r w:rsidRPr="00E906FA">
              <w:rPr>
                <w:rFonts w:asciiTheme="minorHAnsi" w:hAnsiTheme="minorHAnsi" w:cstheme="minorHAnsi"/>
                <w:b/>
                <w:sz w:val="20"/>
                <w:szCs w:val="20"/>
              </w:rPr>
              <w:t>Fase 6</w:t>
            </w:r>
          </w:p>
        </w:tc>
        <w:tc>
          <w:tcPr>
            <w:tcW w:w="1362" w:type="dxa"/>
            <w:tcBorders>
              <w:top w:val="single" w:sz="6" w:space="0" w:color="000000"/>
              <w:left w:val="single" w:sz="6" w:space="0" w:color="000000"/>
              <w:bottom w:val="single" w:sz="6" w:space="0" w:color="000000"/>
              <w:right w:val="single" w:sz="6" w:space="0" w:color="000000"/>
            </w:tcBorders>
            <w:vAlign w:val="center"/>
          </w:tcPr>
          <w:p w14:paraId="7CF9B8B7" w14:textId="77777777" w:rsidR="00670D65" w:rsidRPr="00E906FA" w:rsidRDefault="00670D65" w:rsidP="00670D65">
            <w:pPr>
              <w:spacing w:after="134" w:line="259" w:lineRule="auto"/>
              <w:ind w:left="3"/>
              <w:jc w:val="center"/>
              <w:rPr>
                <w:rFonts w:asciiTheme="minorHAnsi" w:hAnsiTheme="minorHAnsi" w:cstheme="minorHAnsi"/>
                <w:sz w:val="20"/>
                <w:szCs w:val="20"/>
              </w:rPr>
            </w:pPr>
          </w:p>
          <w:p w14:paraId="13304A28" w14:textId="77777777" w:rsidR="00670D65" w:rsidRPr="00E906FA" w:rsidRDefault="00670D65" w:rsidP="00670D65">
            <w:pPr>
              <w:spacing w:line="259" w:lineRule="auto"/>
              <w:ind w:right="6"/>
              <w:jc w:val="center"/>
              <w:rPr>
                <w:rFonts w:asciiTheme="minorHAnsi" w:hAnsiTheme="minorHAnsi" w:cstheme="minorHAnsi"/>
                <w:sz w:val="20"/>
                <w:szCs w:val="20"/>
              </w:rPr>
            </w:pPr>
            <w:r w:rsidRPr="00E906FA">
              <w:rPr>
                <w:rFonts w:asciiTheme="minorHAnsi" w:hAnsiTheme="minorHAnsi" w:cstheme="minorHAnsi"/>
                <w:sz w:val="20"/>
                <w:szCs w:val="20"/>
              </w:rPr>
              <w:t>Liquidación</w:t>
            </w:r>
          </w:p>
        </w:tc>
        <w:tc>
          <w:tcPr>
            <w:tcW w:w="4290" w:type="dxa"/>
            <w:tcBorders>
              <w:top w:val="single" w:sz="6" w:space="0" w:color="000000"/>
              <w:left w:val="single" w:sz="6" w:space="0" w:color="000000"/>
              <w:bottom w:val="single" w:sz="6" w:space="0" w:color="000000"/>
              <w:right w:val="single" w:sz="6" w:space="0" w:color="000000"/>
            </w:tcBorders>
            <w:vAlign w:val="center"/>
          </w:tcPr>
          <w:p w14:paraId="3E9995CE" w14:textId="77777777" w:rsidR="00670D65" w:rsidRPr="00E906FA" w:rsidRDefault="00670D65" w:rsidP="00B716BB">
            <w:pPr>
              <w:spacing w:line="259" w:lineRule="auto"/>
              <w:ind w:left="105" w:right="106"/>
              <w:rPr>
                <w:rFonts w:asciiTheme="minorHAnsi" w:hAnsiTheme="minorHAnsi" w:cstheme="minorHAnsi"/>
                <w:sz w:val="20"/>
                <w:szCs w:val="20"/>
              </w:rPr>
            </w:pPr>
            <w:r w:rsidRPr="00E906FA">
              <w:rPr>
                <w:rFonts w:asciiTheme="minorHAnsi" w:hAnsiTheme="minorHAnsi" w:cstheme="minorHAnsi"/>
                <w:sz w:val="20"/>
                <w:szCs w:val="20"/>
              </w:rPr>
              <w:t>El SINPE procederá a realizar la liquidación en firme de operaciones, acreditando en las cuentas de los fondos     administrados     que tengan</w:t>
            </w:r>
          </w:p>
        </w:tc>
        <w:tc>
          <w:tcPr>
            <w:tcW w:w="2291" w:type="dxa"/>
            <w:tcBorders>
              <w:top w:val="single" w:sz="6" w:space="0" w:color="000000"/>
              <w:left w:val="single" w:sz="6" w:space="0" w:color="000000"/>
              <w:bottom w:val="single" w:sz="6" w:space="0" w:color="000000"/>
              <w:right w:val="single" w:sz="6" w:space="0" w:color="000000"/>
            </w:tcBorders>
            <w:vAlign w:val="center"/>
          </w:tcPr>
          <w:p w14:paraId="2514DF4C" w14:textId="77777777" w:rsidR="00670D65" w:rsidRPr="00E906FA" w:rsidRDefault="00670D65" w:rsidP="00670D65">
            <w:pPr>
              <w:spacing w:after="134"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3:00 pm</w:t>
            </w:r>
          </w:p>
        </w:tc>
      </w:tr>
      <w:tr w:rsidR="00670D65" w:rsidRPr="00E906FA" w14:paraId="731B15E2" w14:textId="77777777" w:rsidTr="00670D65">
        <w:trPr>
          <w:trHeight w:val="1188"/>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6F9C3481" w14:textId="77777777" w:rsidR="00670D65" w:rsidRPr="00E906FA" w:rsidRDefault="00670D65" w:rsidP="00670D65">
            <w:pPr>
              <w:spacing w:line="259" w:lineRule="auto"/>
              <w:jc w:val="center"/>
              <w:rPr>
                <w:rFonts w:asciiTheme="minorHAnsi" w:hAnsiTheme="minorHAnsi" w:cstheme="minorHAnsi"/>
                <w:sz w:val="20"/>
                <w:szCs w:val="20"/>
              </w:rPr>
            </w:pPr>
          </w:p>
          <w:p w14:paraId="5697232F" w14:textId="77777777" w:rsidR="00670D65" w:rsidRPr="00E906FA" w:rsidRDefault="00670D65" w:rsidP="00670D65">
            <w:pPr>
              <w:spacing w:after="151" w:line="259" w:lineRule="auto"/>
              <w:jc w:val="center"/>
              <w:rPr>
                <w:rFonts w:asciiTheme="minorHAnsi" w:hAnsiTheme="minorHAnsi" w:cstheme="minorHAnsi"/>
                <w:sz w:val="20"/>
                <w:szCs w:val="20"/>
              </w:rPr>
            </w:pPr>
          </w:p>
          <w:p w14:paraId="7F2DB8AF" w14:textId="77777777" w:rsidR="00670D65" w:rsidRPr="00E906FA" w:rsidRDefault="00670D65" w:rsidP="00670D65">
            <w:pPr>
              <w:spacing w:after="134" w:line="259" w:lineRule="auto"/>
              <w:jc w:val="center"/>
              <w:rPr>
                <w:rFonts w:asciiTheme="minorHAnsi" w:hAnsiTheme="minorHAnsi" w:cstheme="minorHAnsi"/>
                <w:sz w:val="20"/>
                <w:szCs w:val="20"/>
              </w:rPr>
            </w:pPr>
            <w:r w:rsidRPr="00E906FA">
              <w:rPr>
                <w:rFonts w:asciiTheme="minorHAnsi" w:hAnsiTheme="minorHAnsi" w:cstheme="minorHAnsi"/>
                <w:b/>
                <w:sz w:val="20"/>
                <w:szCs w:val="20"/>
              </w:rPr>
              <w:t>Fase 7</w:t>
            </w:r>
          </w:p>
        </w:tc>
        <w:tc>
          <w:tcPr>
            <w:tcW w:w="1362" w:type="dxa"/>
            <w:tcBorders>
              <w:top w:val="single" w:sz="6" w:space="0" w:color="000000"/>
              <w:left w:val="single" w:sz="6" w:space="0" w:color="000000"/>
              <w:bottom w:val="single" w:sz="6" w:space="0" w:color="000000"/>
              <w:right w:val="single" w:sz="6" w:space="0" w:color="000000"/>
            </w:tcBorders>
            <w:vAlign w:val="center"/>
          </w:tcPr>
          <w:p w14:paraId="18130005" w14:textId="77777777" w:rsidR="00670D65" w:rsidRPr="00E906FA" w:rsidRDefault="00670D65" w:rsidP="00670D65">
            <w:pPr>
              <w:spacing w:line="259" w:lineRule="auto"/>
              <w:ind w:left="2"/>
              <w:jc w:val="center"/>
              <w:rPr>
                <w:rFonts w:asciiTheme="minorHAnsi" w:hAnsiTheme="minorHAnsi" w:cstheme="minorHAnsi"/>
                <w:sz w:val="20"/>
                <w:szCs w:val="20"/>
              </w:rPr>
            </w:pPr>
          </w:p>
          <w:p w14:paraId="2BF48FC4" w14:textId="77777777" w:rsidR="00670D65" w:rsidRPr="00E906FA" w:rsidRDefault="00670D65" w:rsidP="00670D65">
            <w:pPr>
              <w:spacing w:after="134"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Traslado de recursos a los fondos respectivos</w:t>
            </w:r>
          </w:p>
        </w:tc>
        <w:tc>
          <w:tcPr>
            <w:tcW w:w="4290" w:type="dxa"/>
            <w:tcBorders>
              <w:top w:val="single" w:sz="6" w:space="0" w:color="000000"/>
              <w:left w:val="single" w:sz="6" w:space="0" w:color="000000"/>
              <w:bottom w:val="single" w:sz="6" w:space="0" w:color="000000"/>
              <w:right w:val="single" w:sz="6" w:space="0" w:color="000000"/>
            </w:tcBorders>
            <w:vAlign w:val="center"/>
          </w:tcPr>
          <w:p w14:paraId="603C24C6" w14:textId="77777777" w:rsidR="00670D65" w:rsidRPr="00E906FA" w:rsidRDefault="00670D65" w:rsidP="00B716BB">
            <w:pPr>
              <w:spacing w:line="259" w:lineRule="auto"/>
              <w:ind w:left="105" w:right="106"/>
              <w:rPr>
                <w:rFonts w:asciiTheme="minorHAnsi" w:hAnsiTheme="minorHAnsi" w:cstheme="minorHAnsi"/>
                <w:sz w:val="20"/>
                <w:szCs w:val="20"/>
              </w:rPr>
            </w:pPr>
            <w:r w:rsidRPr="00E906FA">
              <w:rPr>
                <w:rFonts w:asciiTheme="minorHAnsi" w:hAnsiTheme="minorHAnsi" w:cstheme="minorHAnsi"/>
                <w:sz w:val="20"/>
                <w:szCs w:val="20"/>
              </w:rPr>
              <w:t>Cada una de las entidades autorizadas destino deberá, una vez recibidos los recursos, trasladarlos a la cuenta respectiva del fondo de pensiones o FCL, según corresponda, utilizando el servicio TEF a terceros de SINPE.</w:t>
            </w:r>
          </w:p>
        </w:tc>
        <w:tc>
          <w:tcPr>
            <w:tcW w:w="2291" w:type="dxa"/>
            <w:tcBorders>
              <w:top w:val="single" w:sz="6" w:space="0" w:color="000000"/>
              <w:left w:val="single" w:sz="6" w:space="0" w:color="000000"/>
              <w:bottom w:val="single" w:sz="6" w:space="0" w:color="000000"/>
              <w:right w:val="single" w:sz="6" w:space="0" w:color="000000"/>
            </w:tcBorders>
            <w:vAlign w:val="center"/>
          </w:tcPr>
          <w:p w14:paraId="7E5BA036" w14:textId="77777777" w:rsidR="00670D65" w:rsidRPr="00E906FA" w:rsidRDefault="00670D65" w:rsidP="00670D65">
            <w:pPr>
              <w:spacing w:line="259" w:lineRule="auto"/>
              <w:jc w:val="center"/>
              <w:rPr>
                <w:rFonts w:asciiTheme="minorHAnsi" w:hAnsiTheme="minorHAnsi" w:cstheme="minorHAnsi"/>
                <w:sz w:val="20"/>
                <w:szCs w:val="20"/>
              </w:rPr>
            </w:pPr>
          </w:p>
          <w:p w14:paraId="1C1E211E" w14:textId="77777777" w:rsidR="00670D65" w:rsidRPr="00E906FA" w:rsidRDefault="00670D65" w:rsidP="00670D65">
            <w:pPr>
              <w:spacing w:line="259" w:lineRule="auto"/>
              <w:ind w:right="54"/>
              <w:jc w:val="center"/>
              <w:rPr>
                <w:rFonts w:asciiTheme="minorHAnsi" w:hAnsiTheme="minorHAnsi" w:cstheme="minorHAnsi"/>
                <w:sz w:val="20"/>
                <w:szCs w:val="20"/>
              </w:rPr>
            </w:pPr>
            <w:r w:rsidRPr="00E906FA">
              <w:rPr>
                <w:rFonts w:asciiTheme="minorHAnsi" w:hAnsiTheme="minorHAnsi" w:cstheme="minorHAnsi"/>
                <w:sz w:val="20"/>
                <w:szCs w:val="20"/>
              </w:rPr>
              <w:t>De 3:00 pm a</w:t>
            </w:r>
          </w:p>
          <w:p w14:paraId="4AE94C25" w14:textId="77777777" w:rsidR="00670D65" w:rsidRPr="00E906FA" w:rsidRDefault="00670D65" w:rsidP="00670D65">
            <w:pPr>
              <w:spacing w:after="134"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4:30 pm</w:t>
            </w:r>
          </w:p>
        </w:tc>
      </w:tr>
      <w:tr w:rsidR="00670D65" w:rsidRPr="00E906FA" w14:paraId="4C9E81C9" w14:textId="77777777" w:rsidTr="00670D65">
        <w:trPr>
          <w:trHeight w:val="1188"/>
          <w:jc w:val="right"/>
        </w:trPr>
        <w:tc>
          <w:tcPr>
            <w:tcW w:w="808" w:type="dxa"/>
            <w:tcBorders>
              <w:top w:val="single" w:sz="6" w:space="0" w:color="000000"/>
              <w:left w:val="single" w:sz="6" w:space="0" w:color="000000"/>
              <w:bottom w:val="single" w:sz="6" w:space="0" w:color="000000"/>
              <w:right w:val="single" w:sz="6" w:space="0" w:color="000000"/>
            </w:tcBorders>
            <w:vAlign w:val="center"/>
          </w:tcPr>
          <w:p w14:paraId="71237543" w14:textId="77777777" w:rsidR="00670D65" w:rsidRPr="00E906FA" w:rsidRDefault="00670D65" w:rsidP="00670D65">
            <w:pPr>
              <w:spacing w:line="259" w:lineRule="auto"/>
              <w:jc w:val="center"/>
              <w:rPr>
                <w:rFonts w:asciiTheme="minorHAnsi" w:hAnsiTheme="minorHAnsi" w:cstheme="minorHAnsi"/>
                <w:sz w:val="20"/>
                <w:szCs w:val="20"/>
              </w:rPr>
            </w:pPr>
          </w:p>
          <w:p w14:paraId="78567669" w14:textId="77777777" w:rsidR="00670D65" w:rsidRPr="00E906FA" w:rsidRDefault="00670D65" w:rsidP="00670D65">
            <w:pPr>
              <w:spacing w:line="259" w:lineRule="auto"/>
              <w:jc w:val="center"/>
              <w:rPr>
                <w:rFonts w:asciiTheme="minorHAnsi" w:hAnsiTheme="minorHAnsi" w:cstheme="minorHAnsi"/>
                <w:sz w:val="20"/>
                <w:szCs w:val="20"/>
              </w:rPr>
            </w:pPr>
          </w:p>
          <w:p w14:paraId="280989B7" w14:textId="77777777" w:rsidR="00670D65" w:rsidRPr="00E906FA" w:rsidRDefault="00670D65" w:rsidP="00670D65">
            <w:pPr>
              <w:spacing w:after="156" w:line="259" w:lineRule="auto"/>
              <w:jc w:val="center"/>
              <w:rPr>
                <w:rFonts w:asciiTheme="minorHAnsi" w:hAnsiTheme="minorHAnsi" w:cstheme="minorHAnsi"/>
                <w:sz w:val="20"/>
                <w:szCs w:val="20"/>
              </w:rPr>
            </w:pPr>
          </w:p>
          <w:p w14:paraId="10F4F6CB" w14:textId="77777777" w:rsidR="00670D65" w:rsidRPr="00E906FA" w:rsidRDefault="00670D65" w:rsidP="00670D65">
            <w:pPr>
              <w:spacing w:after="134" w:line="259" w:lineRule="auto"/>
              <w:jc w:val="center"/>
              <w:rPr>
                <w:rFonts w:asciiTheme="minorHAnsi" w:hAnsiTheme="minorHAnsi" w:cstheme="minorHAnsi"/>
                <w:sz w:val="20"/>
                <w:szCs w:val="20"/>
              </w:rPr>
            </w:pPr>
            <w:r w:rsidRPr="00E906FA">
              <w:rPr>
                <w:rFonts w:asciiTheme="minorHAnsi" w:hAnsiTheme="minorHAnsi" w:cstheme="minorHAnsi"/>
                <w:b/>
                <w:sz w:val="20"/>
                <w:szCs w:val="20"/>
              </w:rPr>
              <w:t>Fase 8</w:t>
            </w:r>
          </w:p>
        </w:tc>
        <w:tc>
          <w:tcPr>
            <w:tcW w:w="1362" w:type="dxa"/>
            <w:tcBorders>
              <w:top w:val="single" w:sz="6" w:space="0" w:color="000000"/>
              <w:left w:val="single" w:sz="6" w:space="0" w:color="000000"/>
              <w:bottom w:val="single" w:sz="6" w:space="0" w:color="000000"/>
              <w:right w:val="single" w:sz="6" w:space="0" w:color="000000"/>
            </w:tcBorders>
            <w:vAlign w:val="center"/>
          </w:tcPr>
          <w:p w14:paraId="20AC7DE6" w14:textId="77777777" w:rsidR="00670D65" w:rsidRPr="00E906FA" w:rsidRDefault="00670D65" w:rsidP="00670D65">
            <w:pPr>
              <w:spacing w:line="259" w:lineRule="auto"/>
              <w:ind w:left="2"/>
              <w:jc w:val="center"/>
              <w:rPr>
                <w:rFonts w:asciiTheme="minorHAnsi" w:hAnsiTheme="minorHAnsi" w:cstheme="minorHAnsi"/>
                <w:sz w:val="20"/>
                <w:szCs w:val="20"/>
              </w:rPr>
            </w:pPr>
          </w:p>
          <w:p w14:paraId="1466A438" w14:textId="77777777" w:rsidR="00670D65" w:rsidRPr="00E906FA" w:rsidRDefault="00670D65" w:rsidP="00670D65">
            <w:pPr>
              <w:spacing w:line="259" w:lineRule="auto"/>
              <w:ind w:left="2"/>
              <w:jc w:val="center"/>
              <w:rPr>
                <w:rFonts w:asciiTheme="minorHAnsi" w:hAnsiTheme="minorHAnsi" w:cstheme="minorHAnsi"/>
                <w:sz w:val="20"/>
                <w:szCs w:val="20"/>
              </w:rPr>
            </w:pPr>
          </w:p>
          <w:p w14:paraId="40B6ACA5" w14:textId="77777777" w:rsidR="00670D65" w:rsidRPr="00E906FA" w:rsidRDefault="00670D65" w:rsidP="00670D65">
            <w:pPr>
              <w:spacing w:line="259" w:lineRule="auto"/>
              <w:ind w:left="2"/>
              <w:jc w:val="center"/>
              <w:rPr>
                <w:rFonts w:asciiTheme="minorHAnsi" w:hAnsiTheme="minorHAnsi" w:cstheme="minorHAnsi"/>
                <w:sz w:val="20"/>
                <w:szCs w:val="20"/>
              </w:rPr>
            </w:pPr>
          </w:p>
          <w:p w14:paraId="3B0A078A" w14:textId="77777777" w:rsidR="00670D65" w:rsidRPr="00E906FA" w:rsidRDefault="00670D65" w:rsidP="00670D65">
            <w:pPr>
              <w:spacing w:after="134"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Acreditación de recursos</w:t>
            </w:r>
          </w:p>
        </w:tc>
        <w:tc>
          <w:tcPr>
            <w:tcW w:w="4290" w:type="dxa"/>
            <w:tcBorders>
              <w:top w:val="single" w:sz="6" w:space="0" w:color="000000"/>
              <w:left w:val="single" w:sz="6" w:space="0" w:color="000000"/>
              <w:bottom w:val="single" w:sz="6" w:space="0" w:color="000000"/>
              <w:right w:val="single" w:sz="6" w:space="0" w:color="000000"/>
            </w:tcBorders>
            <w:vAlign w:val="center"/>
          </w:tcPr>
          <w:p w14:paraId="0AD00B8F" w14:textId="77777777" w:rsidR="00670D65" w:rsidRPr="00E906FA" w:rsidRDefault="00670D65" w:rsidP="00B716BB">
            <w:pPr>
              <w:spacing w:after="1" w:line="237" w:lineRule="auto"/>
              <w:ind w:left="103" w:right="55"/>
              <w:rPr>
                <w:rFonts w:asciiTheme="minorHAnsi" w:hAnsiTheme="minorHAnsi" w:cstheme="minorHAnsi"/>
                <w:sz w:val="20"/>
                <w:szCs w:val="20"/>
              </w:rPr>
            </w:pPr>
            <w:r w:rsidRPr="00E906FA">
              <w:rPr>
                <w:rFonts w:asciiTheme="minorHAnsi" w:hAnsiTheme="minorHAnsi" w:cstheme="minorHAnsi"/>
                <w:sz w:val="20"/>
                <w:szCs w:val="20"/>
              </w:rPr>
              <w:t>Cada una de las entidades autorizadas destino deberá ajustar los registros contables pertinentes, de acuerdo a los datos aportados por el SEC.</w:t>
            </w:r>
          </w:p>
          <w:p w14:paraId="6A5818EE" w14:textId="77777777" w:rsidR="00670D65" w:rsidRPr="00E906FA" w:rsidRDefault="00670D65" w:rsidP="00B716BB">
            <w:pPr>
              <w:spacing w:line="259" w:lineRule="auto"/>
              <w:ind w:left="105" w:right="106"/>
              <w:rPr>
                <w:rFonts w:asciiTheme="minorHAnsi" w:hAnsiTheme="minorHAnsi" w:cstheme="minorHAnsi"/>
                <w:sz w:val="20"/>
                <w:szCs w:val="20"/>
              </w:rPr>
            </w:pPr>
            <w:r w:rsidRPr="00E906FA">
              <w:rPr>
                <w:rFonts w:asciiTheme="minorHAnsi" w:hAnsiTheme="minorHAnsi" w:cstheme="minorHAnsi"/>
                <w:sz w:val="20"/>
                <w:szCs w:val="20"/>
              </w:rPr>
              <w:t>De manera inmediata a la recepción de los recursos, la entidad autorizada destino, deberá crear la cuenta del trabajador que se le ha trasladado.</w:t>
            </w:r>
          </w:p>
        </w:tc>
        <w:tc>
          <w:tcPr>
            <w:tcW w:w="2291" w:type="dxa"/>
            <w:tcBorders>
              <w:top w:val="single" w:sz="6" w:space="0" w:color="000000"/>
              <w:left w:val="single" w:sz="6" w:space="0" w:color="000000"/>
              <w:bottom w:val="single" w:sz="6" w:space="0" w:color="000000"/>
              <w:right w:val="single" w:sz="6" w:space="0" w:color="000000"/>
            </w:tcBorders>
            <w:vAlign w:val="center"/>
          </w:tcPr>
          <w:p w14:paraId="50C15434" w14:textId="77777777" w:rsidR="00670D65" w:rsidRPr="00E906FA" w:rsidRDefault="00670D65" w:rsidP="00670D65">
            <w:pPr>
              <w:spacing w:line="259" w:lineRule="auto"/>
              <w:jc w:val="center"/>
              <w:rPr>
                <w:rFonts w:asciiTheme="minorHAnsi" w:hAnsiTheme="minorHAnsi" w:cstheme="minorHAnsi"/>
                <w:sz w:val="20"/>
                <w:szCs w:val="20"/>
              </w:rPr>
            </w:pPr>
          </w:p>
          <w:p w14:paraId="23C81E64" w14:textId="77777777" w:rsidR="00670D65" w:rsidRPr="00E906FA" w:rsidRDefault="00670D65" w:rsidP="00670D65">
            <w:pPr>
              <w:spacing w:line="259" w:lineRule="auto"/>
              <w:ind w:right="54"/>
              <w:jc w:val="center"/>
              <w:rPr>
                <w:rFonts w:asciiTheme="minorHAnsi" w:hAnsiTheme="minorHAnsi" w:cstheme="minorHAnsi"/>
                <w:sz w:val="20"/>
                <w:szCs w:val="20"/>
              </w:rPr>
            </w:pPr>
            <w:r w:rsidRPr="00E906FA">
              <w:rPr>
                <w:rFonts w:asciiTheme="minorHAnsi" w:hAnsiTheme="minorHAnsi" w:cstheme="minorHAnsi"/>
                <w:sz w:val="20"/>
                <w:szCs w:val="20"/>
              </w:rPr>
              <w:t>De 4:30 pm a</w:t>
            </w:r>
          </w:p>
          <w:p w14:paraId="4F42B174" w14:textId="77777777" w:rsidR="00670D65" w:rsidRPr="00E906FA" w:rsidRDefault="00670D65" w:rsidP="00670D65">
            <w:pPr>
              <w:spacing w:after="134" w:line="259" w:lineRule="auto"/>
              <w:ind w:left="3"/>
              <w:jc w:val="center"/>
              <w:rPr>
                <w:rFonts w:asciiTheme="minorHAnsi" w:hAnsiTheme="minorHAnsi" w:cstheme="minorHAnsi"/>
                <w:sz w:val="20"/>
                <w:szCs w:val="20"/>
              </w:rPr>
            </w:pPr>
            <w:r w:rsidRPr="00E906FA">
              <w:rPr>
                <w:rFonts w:asciiTheme="minorHAnsi" w:hAnsiTheme="minorHAnsi" w:cstheme="minorHAnsi"/>
                <w:sz w:val="20"/>
                <w:szCs w:val="20"/>
              </w:rPr>
              <w:t>6:00 pm</w:t>
            </w:r>
          </w:p>
        </w:tc>
      </w:tr>
    </w:tbl>
    <w:p w14:paraId="72F7F67F" w14:textId="77777777" w:rsidR="004D0ED5" w:rsidRPr="00155114" w:rsidRDefault="004D0ED5" w:rsidP="00277429">
      <w:pPr>
        <w:widowControl w:val="0"/>
        <w:spacing w:line="240" w:lineRule="auto"/>
        <w:contextualSpacing/>
        <w:jc w:val="both"/>
        <w:rPr>
          <w:rFonts w:eastAsia="Calibri" w:cs="Times New Roman"/>
          <w:szCs w:val="24"/>
        </w:rPr>
      </w:pPr>
    </w:p>
    <w:p w14:paraId="7CBB92C8" w14:textId="39745DEC" w:rsidR="00416B8B" w:rsidRPr="00155114" w:rsidRDefault="00186CFE" w:rsidP="00A429F0">
      <w:pPr>
        <w:pStyle w:val="Prrafodelista"/>
        <w:numPr>
          <w:ilvl w:val="0"/>
          <w:numId w:val="3"/>
        </w:numPr>
        <w:spacing w:line="240" w:lineRule="auto"/>
        <w:jc w:val="both"/>
        <w:rPr>
          <w:rFonts w:cs="Times New Roman"/>
          <w:szCs w:val="24"/>
        </w:rPr>
      </w:pPr>
      <w:r w:rsidRPr="00155114">
        <w:rPr>
          <w:rFonts w:cs="Times New Roman"/>
          <w:szCs w:val="24"/>
        </w:rPr>
        <w:t xml:space="preserve">Esta </w:t>
      </w:r>
      <w:r w:rsidR="00993189">
        <w:rPr>
          <w:rFonts w:cs="Times New Roman"/>
          <w:szCs w:val="24"/>
        </w:rPr>
        <w:t>reforma</w:t>
      </w:r>
      <w:r w:rsidRPr="00155114">
        <w:rPr>
          <w:rFonts w:cs="Times New Roman"/>
          <w:szCs w:val="24"/>
        </w:rPr>
        <w:t xml:space="preserve"> entrará en vigor </w:t>
      </w:r>
      <w:r w:rsidR="00D07DB7" w:rsidRPr="00155114">
        <w:rPr>
          <w:rFonts w:cs="Times New Roman"/>
          <w:szCs w:val="24"/>
        </w:rPr>
        <w:t>a partir del 1</w:t>
      </w:r>
      <w:r w:rsidR="00EE17FA" w:rsidRPr="00155114">
        <w:rPr>
          <w:rFonts w:cs="Times New Roman"/>
          <w:szCs w:val="24"/>
        </w:rPr>
        <w:t>°</w:t>
      </w:r>
      <w:r w:rsidR="00D07DB7" w:rsidRPr="00155114">
        <w:rPr>
          <w:rFonts w:cs="Times New Roman"/>
          <w:szCs w:val="24"/>
        </w:rPr>
        <w:t xml:space="preserve"> </w:t>
      </w:r>
      <w:r w:rsidR="004F780C" w:rsidRPr="00155114">
        <w:rPr>
          <w:rFonts w:cs="Times New Roman"/>
          <w:szCs w:val="24"/>
        </w:rPr>
        <w:t>de j</w:t>
      </w:r>
      <w:r w:rsidR="00323529" w:rsidRPr="00155114">
        <w:rPr>
          <w:rFonts w:cs="Times New Roman"/>
          <w:szCs w:val="24"/>
        </w:rPr>
        <w:t>unio</w:t>
      </w:r>
      <w:r w:rsidR="004F780C" w:rsidRPr="00155114">
        <w:rPr>
          <w:rFonts w:cs="Times New Roman"/>
          <w:szCs w:val="24"/>
        </w:rPr>
        <w:t xml:space="preserve"> de 2022.</w:t>
      </w:r>
    </w:p>
    <w:p w14:paraId="42FAF5D2" w14:textId="77777777" w:rsidR="00A0168D" w:rsidRPr="00155114" w:rsidRDefault="00A0168D" w:rsidP="00277429">
      <w:pPr>
        <w:spacing w:line="240" w:lineRule="auto"/>
        <w:contextualSpacing/>
        <w:rPr>
          <w:rFonts w:cs="Times New Roman"/>
          <w:szCs w:val="24"/>
        </w:rPr>
      </w:pPr>
    </w:p>
    <w:p w14:paraId="426D31E8" w14:textId="77777777" w:rsidR="00993189" w:rsidRDefault="00993189" w:rsidP="00277429">
      <w:pPr>
        <w:spacing w:line="240" w:lineRule="auto"/>
        <w:contextualSpacing/>
        <w:rPr>
          <w:rFonts w:cs="Times New Roman"/>
          <w:szCs w:val="24"/>
        </w:rPr>
      </w:pPr>
    </w:p>
    <w:p w14:paraId="30B55A2C" w14:textId="07116C1C" w:rsidR="00CF2249" w:rsidRPr="00155114" w:rsidRDefault="00A429F0" w:rsidP="00277429">
      <w:pPr>
        <w:spacing w:line="240" w:lineRule="auto"/>
        <w:contextualSpacing/>
        <w:rPr>
          <w:rFonts w:cs="Times New Roman"/>
          <w:szCs w:val="24"/>
        </w:rPr>
      </w:pPr>
      <w:r w:rsidRPr="00155114">
        <w:rPr>
          <w:rFonts w:cs="Times New Roman"/>
          <w:szCs w:val="24"/>
        </w:rPr>
        <w:t>Comuníquese.</w:t>
      </w:r>
    </w:p>
    <w:p w14:paraId="45C04AD2" w14:textId="77777777" w:rsidR="00A429F0" w:rsidRPr="00155114" w:rsidRDefault="00A429F0" w:rsidP="00277429">
      <w:pPr>
        <w:spacing w:line="240" w:lineRule="auto"/>
        <w:contextualSpacing/>
        <w:rPr>
          <w:rFonts w:cs="Times New Roman"/>
          <w:szCs w:val="24"/>
        </w:rPr>
      </w:pPr>
    </w:p>
    <w:p w14:paraId="38511E81" w14:textId="77777777" w:rsidR="00851CCD" w:rsidRPr="00155114" w:rsidRDefault="00851CCD" w:rsidP="00277429">
      <w:pPr>
        <w:spacing w:line="240" w:lineRule="auto"/>
        <w:contextualSpacing/>
        <w:rPr>
          <w:rFonts w:cs="Times New Roman"/>
          <w:szCs w:val="24"/>
        </w:rPr>
      </w:pPr>
      <w:r w:rsidRPr="00155114">
        <w:rPr>
          <w:rFonts w:cs="Times New Roman"/>
          <w:noProof/>
          <w:szCs w:val="24"/>
          <w:lang w:val="es-CR" w:eastAsia="es-CR"/>
        </w:rPr>
        <w:drawing>
          <wp:inline distT="0" distB="0" distL="0" distR="0" wp14:anchorId="17C040FB" wp14:editId="4589AA5C">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1B0C1082" w14:textId="77777777" w:rsidR="00A0168D" w:rsidRPr="00155114" w:rsidRDefault="00A0168D" w:rsidP="00277429">
      <w:pPr>
        <w:spacing w:line="240" w:lineRule="auto"/>
        <w:contextualSpacing/>
        <w:rPr>
          <w:rFonts w:cs="Times New Roman"/>
          <w:szCs w:val="24"/>
        </w:rPr>
      </w:pPr>
      <w:r w:rsidRPr="00155114">
        <w:rPr>
          <w:rFonts w:cs="Times New Roman"/>
          <w:szCs w:val="24"/>
        </w:rPr>
        <w:t>Rocío Aguilar M.</w:t>
      </w:r>
    </w:p>
    <w:p w14:paraId="38E2164E" w14:textId="77777777" w:rsidR="00A0168D" w:rsidRPr="00155114" w:rsidRDefault="00A0168D" w:rsidP="00277429">
      <w:pPr>
        <w:spacing w:line="240" w:lineRule="auto"/>
        <w:contextualSpacing/>
        <w:rPr>
          <w:rFonts w:cs="Times New Roman"/>
          <w:szCs w:val="24"/>
        </w:rPr>
      </w:pPr>
      <w:r w:rsidRPr="00155114">
        <w:rPr>
          <w:rFonts w:cs="Times New Roman"/>
          <w:szCs w:val="24"/>
        </w:rPr>
        <w:t>Superintendente de Pensiones</w:t>
      </w:r>
    </w:p>
    <w:p w14:paraId="1540B7C4" w14:textId="77777777" w:rsidR="00851CCD" w:rsidRPr="00155114" w:rsidRDefault="00851CCD" w:rsidP="00277429">
      <w:pPr>
        <w:spacing w:line="240" w:lineRule="auto"/>
        <w:contextualSpacing/>
        <w:rPr>
          <w:rFonts w:cs="Times New Roman"/>
          <w:szCs w:val="24"/>
        </w:rPr>
      </w:pPr>
    </w:p>
    <w:p w14:paraId="1B33C9FC" w14:textId="77777777" w:rsidR="002D1420" w:rsidRPr="00155114" w:rsidRDefault="002D1420" w:rsidP="00277429">
      <w:pPr>
        <w:spacing w:line="240" w:lineRule="auto"/>
        <w:contextualSpacing/>
        <w:rPr>
          <w:rFonts w:cs="Times New Roman"/>
          <w:szCs w:val="24"/>
        </w:rPr>
      </w:pPr>
    </w:p>
    <w:p w14:paraId="36B8ACE3" w14:textId="77777777" w:rsidR="006803D3" w:rsidRPr="003F1C28" w:rsidRDefault="006803D3" w:rsidP="00277429">
      <w:pPr>
        <w:spacing w:line="240" w:lineRule="auto"/>
        <w:contextualSpacing/>
        <w:rPr>
          <w:rFonts w:cs="Times New Roman"/>
          <w:sz w:val="20"/>
          <w:szCs w:val="20"/>
        </w:rPr>
      </w:pPr>
      <w:r w:rsidRPr="003F1C28">
        <w:rPr>
          <w:rFonts w:cs="Times New Roman"/>
          <w:sz w:val="20"/>
          <w:szCs w:val="20"/>
        </w:rPr>
        <w:t>Copia</w:t>
      </w:r>
      <w:r w:rsidR="00CF2249" w:rsidRPr="003F1C28">
        <w:rPr>
          <w:rFonts w:cs="Times New Roman"/>
          <w:sz w:val="20"/>
          <w:szCs w:val="20"/>
        </w:rPr>
        <w:t>:</w:t>
      </w:r>
    </w:p>
    <w:p w14:paraId="65CD4552" w14:textId="77777777" w:rsidR="00CF2249" w:rsidRPr="003F1C28" w:rsidRDefault="00CF2249" w:rsidP="00277429">
      <w:pPr>
        <w:spacing w:line="240" w:lineRule="auto"/>
        <w:contextualSpacing/>
        <w:rPr>
          <w:rFonts w:cs="Times New Roman"/>
          <w:sz w:val="20"/>
          <w:szCs w:val="20"/>
        </w:rPr>
      </w:pPr>
      <w:r w:rsidRPr="003F1C28">
        <w:rPr>
          <w:rFonts w:cs="Times New Roman"/>
          <w:sz w:val="20"/>
          <w:szCs w:val="20"/>
        </w:rPr>
        <w:t>Carlos Melegatti Sarlo</w:t>
      </w:r>
      <w:r w:rsidR="005463A3" w:rsidRPr="003F1C28">
        <w:rPr>
          <w:rFonts w:cs="Times New Roman"/>
          <w:sz w:val="20"/>
          <w:szCs w:val="20"/>
        </w:rPr>
        <w:t>.</w:t>
      </w:r>
    </w:p>
    <w:p w14:paraId="0EE95839" w14:textId="77777777" w:rsidR="00A75915" w:rsidRPr="003F1C28" w:rsidRDefault="00A75915" w:rsidP="00277429">
      <w:pPr>
        <w:spacing w:line="240" w:lineRule="auto"/>
        <w:contextualSpacing/>
        <w:rPr>
          <w:rFonts w:cs="Times New Roman"/>
          <w:sz w:val="20"/>
          <w:szCs w:val="20"/>
        </w:rPr>
      </w:pPr>
      <w:r w:rsidRPr="003F1C28">
        <w:rPr>
          <w:rFonts w:cs="Times New Roman"/>
          <w:sz w:val="20"/>
          <w:szCs w:val="20"/>
        </w:rPr>
        <w:t>Director, SINPE</w:t>
      </w:r>
      <w:r w:rsidR="005463A3" w:rsidRPr="003F1C28">
        <w:rPr>
          <w:rFonts w:cs="Times New Roman"/>
          <w:sz w:val="20"/>
          <w:szCs w:val="20"/>
        </w:rPr>
        <w:t>.</w:t>
      </w:r>
    </w:p>
    <w:p w14:paraId="5D24DB0F" w14:textId="1719E2DA" w:rsidR="006803D3" w:rsidRDefault="006803D3" w:rsidP="00277429">
      <w:pPr>
        <w:spacing w:line="240" w:lineRule="auto"/>
        <w:contextualSpacing/>
        <w:rPr>
          <w:rFonts w:cs="Times New Roman"/>
          <w:i/>
          <w:color w:val="FF0000"/>
          <w:szCs w:val="24"/>
        </w:rPr>
      </w:pPr>
    </w:p>
    <w:p w14:paraId="33D6BC29" w14:textId="77777777" w:rsidR="00AB0764" w:rsidRDefault="00AB0764" w:rsidP="00277429">
      <w:pPr>
        <w:spacing w:line="240" w:lineRule="auto"/>
        <w:contextualSpacing/>
        <w:rPr>
          <w:rFonts w:cs="Times New Roman"/>
          <w:i/>
          <w:color w:val="FF0000"/>
          <w:szCs w:val="24"/>
        </w:rPr>
      </w:pPr>
    </w:p>
    <w:p w14:paraId="6A1ECDFE" w14:textId="34FF92F1" w:rsidR="00AB0764" w:rsidRPr="00155114" w:rsidRDefault="00AB0764" w:rsidP="00277429">
      <w:pPr>
        <w:spacing w:line="240" w:lineRule="auto"/>
        <w:contextualSpacing/>
        <w:rPr>
          <w:rFonts w:cs="Times New Roman"/>
          <w:i/>
          <w:color w:val="FF0000"/>
          <w:szCs w:val="24"/>
        </w:rPr>
      </w:pPr>
      <w:r>
        <w:rPr>
          <w:sz w:val="18"/>
        </w:rPr>
        <w:t xml:space="preserve">Aprobado por </w:t>
      </w:r>
      <w:r w:rsidR="009B0576" w:rsidRPr="009B0576">
        <w:rPr>
          <w:i/>
          <w:iCs/>
          <w:sz w:val="18"/>
        </w:rPr>
        <w:t>YSCh/NAJ</w:t>
      </w:r>
    </w:p>
    <w:sectPr w:rsidR="00AB0764" w:rsidRPr="00155114"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381A6" w14:textId="77777777" w:rsidR="00227186" w:rsidRDefault="00227186" w:rsidP="00011FAB">
      <w:pPr>
        <w:spacing w:line="240" w:lineRule="auto"/>
      </w:pPr>
      <w:r>
        <w:separator/>
      </w:r>
    </w:p>
  </w:endnote>
  <w:endnote w:type="continuationSeparator" w:id="0">
    <w:p w14:paraId="1E5E765D" w14:textId="77777777" w:rsidR="00227186" w:rsidRDefault="00227186" w:rsidP="00011FAB">
      <w:pPr>
        <w:spacing w:line="240" w:lineRule="auto"/>
      </w:pPr>
      <w:r>
        <w:continuationSeparator/>
      </w:r>
    </w:p>
  </w:endnote>
  <w:endnote w:type="continuationNotice" w:id="1">
    <w:p w14:paraId="06F6DC40" w14:textId="77777777" w:rsidR="00227186" w:rsidRDefault="00227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DEB2" w14:textId="77777777" w:rsidR="00CC3E74" w:rsidRDefault="00CC3E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2F01" w14:textId="77777777" w:rsidR="00CC3E74" w:rsidRDefault="00CC3E74" w:rsidP="003621B6">
    <w:pPr>
      <w:pStyle w:val="Piedepgina"/>
      <w:pBdr>
        <w:top w:val="single" w:sz="4" w:space="1" w:color="auto"/>
      </w:pBdr>
      <w:rPr>
        <w:i/>
        <w:szCs w:val="24"/>
      </w:rPr>
    </w:pPr>
  </w:p>
  <w:p w14:paraId="278B30A7" w14:textId="77777777" w:rsidR="00CC3E74" w:rsidRPr="00BE078A" w:rsidRDefault="00CC3E74" w:rsidP="00D766AB">
    <w:pPr>
      <w:pStyle w:val="Piedepgina"/>
      <w:pBdr>
        <w:top w:val="single" w:sz="4" w:space="1" w:color="auto"/>
      </w:pBdr>
      <w:jc w:val="center"/>
      <w:rPr>
        <w:szCs w:val="24"/>
      </w:rPr>
    </w:pPr>
    <w:r>
      <w:rPr>
        <w:i/>
        <w:szCs w:val="24"/>
      </w:rPr>
      <w:t>Teléfonos  2243-4446  /  2243-4445</w:t>
    </w:r>
    <w:r>
      <w:rPr>
        <w:i/>
        <w:szCs w:val="24"/>
      </w:rPr>
      <w:tab/>
      <w:t xml:space="preserve">             Fax 2243-4444            </w:t>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A261" w14:textId="77777777" w:rsidR="00CC3E74" w:rsidRDefault="00CC3E74" w:rsidP="003621B6">
    <w:pPr>
      <w:pStyle w:val="Piedepgina"/>
      <w:pBdr>
        <w:top w:val="single" w:sz="4" w:space="1" w:color="auto"/>
      </w:pBdr>
      <w:rPr>
        <w:i/>
        <w:szCs w:val="24"/>
      </w:rPr>
    </w:pPr>
  </w:p>
  <w:p w14:paraId="64E12519" w14:textId="77777777" w:rsidR="00CC3E74" w:rsidRPr="00BE078A" w:rsidRDefault="00CC3E74"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50772" w14:textId="77777777" w:rsidR="00227186" w:rsidRDefault="00227186" w:rsidP="00011FAB">
      <w:pPr>
        <w:spacing w:line="240" w:lineRule="auto"/>
      </w:pPr>
      <w:r>
        <w:separator/>
      </w:r>
    </w:p>
  </w:footnote>
  <w:footnote w:type="continuationSeparator" w:id="0">
    <w:p w14:paraId="17F2873D" w14:textId="77777777" w:rsidR="00227186" w:rsidRDefault="00227186" w:rsidP="00011FAB">
      <w:pPr>
        <w:spacing w:line="240" w:lineRule="auto"/>
      </w:pPr>
      <w:r>
        <w:continuationSeparator/>
      </w:r>
    </w:p>
  </w:footnote>
  <w:footnote w:type="continuationNotice" w:id="1">
    <w:p w14:paraId="46CA19B8" w14:textId="77777777" w:rsidR="00227186" w:rsidRDefault="002271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50816" w14:textId="77777777" w:rsidR="00CC3E74" w:rsidRDefault="00CC3E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C051D" w14:textId="77777777" w:rsidR="00CC3E74" w:rsidRDefault="00CC3E74" w:rsidP="00D766AB">
    <w:pPr>
      <w:pStyle w:val="Encabezado"/>
    </w:pPr>
    <w:r>
      <w:rPr>
        <w:noProof/>
        <w:lang w:val="es-CR" w:eastAsia="es-CR"/>
      </w:rPr>
      <w:drawing>
        <wp:anchor distT="0" distB="0" distL="114300" distR="114300" simplePos="0" relativeHeight="251658242" behindDoc="1" locked="0" layoutInCell="1" allowOverlap="1" wp14:anchorId="7CCE5561" wp14:editId="12AE55B0">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8240" behindDoc="0" locked="0" layoutInCell="1" allowOverlap="1" wp14:anchorId="451A06B2" wp14:editId="127FB8A1">
          <wp:simplePos x="0" y="0"/>
          <wp:positionH relativeFrom="margin">
            <wp:posOffset>4740910</wp:posOffset>
          </wp:positionH>
          <wp:positionV relativeFrom="paragraph">
            <wp:posOffset>-264160</wp:posOffset>
          </wp:positionV>
          <wp:extent cx="963930" cy="864235"/>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6A1CD9C9" w14:textId="77777777" w:rsidR="00CC3E74" w:rsidRPr="00310D45" w:rsidRDefault="00CC3E74" w:rsidP="00D766AB">
    <w:pPr>
      <w:pStyle w:val="Encabezado"/>
    </w:pPr>
  </w:p>
  <w:p w14:paraId="6FDBF352" w14:textId="77777777" w:rsidR="00CC3E74" w:rsidRDefault="00CC3E74" w:rsidP="006B6689">
    <w:pPr>
      <w:pStyle w:val="Encabezado"/>
    </w:pPr>
  </w:p>
  <w:p w14:paraId="641281EE" w14:textId="77777777" w:rsidR="00CC3E74" w:rsidRDefault="00CC3E74" w:rsidP="006B6689">
    <w:pPr>
      <w:pStyle w:val="Encabezado"/>
      <w:rPr>
        <w:b/>
        <w:i/>
        <w:szCs w:val="24"/>
      </w:rPr>
    </w:pPr>
  </w:p>
  <w:p w14:paraId="350F6C17" w14:textId="343C777F" w:rsidR="00CC3E74" w:rsidRPr="00092B79" w:rsidRDefault="00CC3E74"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5E71ED">
      <w:rPr>
        <w:b/>
        <w:i/>
        <w:noProof/>
        <w:szCs w:val="24"/>
      </w:rPr>
      <w:t>SP-A-248-2021</w:t>
    </w:r>
    <w:r w:rsidRPr="00092B79">
      <w:rPr>
        <w:b/>
        <w:i/>
        <w:noProof/>
        <w:szCs w:val="24"/>
      </w:rPr>
      <w:fldChar w:fldCharType="end"/>
    </w:r>
  </w:p>
  <w:p w14:paraId="2BB28606" w14:textId="77777777" w:rsidR="00CC3E74" w:rsidRDefault="00CC3E74" w:rsidP="006B6689">
    <w:pPr>
      <w:pStyle w:val="Encabezado"/>
      <w:rPr>
        <w:i/>
        <w:szCs w:val="24"/>
      </w:rPr>
    </w:pPr>
    <w:r>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7ACC5B95" w14:textId="77777777" w:rsidR="00CC3E74" w:rsidRPr="00DC38D9" w:rsidRDefault="00CC3E74"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893BC" w14:textId="77777777" w:rsidR="00CC3E74" w:rsidRDefault="00CC3E74" w:rsidP="00310D45">
    <w:pPr>
      <w:pStyle w:val="Encabezado"/>
    </w:pPr>
    <w:r>
      <w:rPr>
        <w:noProof/>
        <w:lang w:val="es-CR" w:eastAsia="es-CR"/>
      </w:rPr>
      <w:drawing>
        <wp:anchor distT="0" distB="0" distL="114300" distR="114300" simplePos="0" relativeHeight="251658243" behindDoc="1" locked="0" layoutInCell="1" allowOverlap="1" wp14:anchorId="70750B3D" wp14:editId="511A9229">
          <wp:simplePos x="0" y="0"/>
          <wp:positionH relativeFrom="page">
            <wp:posOffset>812165</wp:posOffset>
          </wp:positionH>
          <wp:positionV relativeFrom="page">
            <wp:posOffset>184150</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8241" behindDoc="0" locked="0" layoutInCell="1" allowOverlap="1" wp14:anchorId="553D11AE" wp14:editId="1B82076D">
          <wp:simplePos x="0" y="0"/>
          <wp:positionH relativeFrom="margin">
            <wp:posOffset>4740910</wp:posOffset>
          </wp:positionH>
          <wp:positionV relativeFrom="paragraph">
            <wp:posOffset>-264160</wp:posOffset>
          </wp:positionV>
          <wp:extent cx="963930" cy="86423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16E85B4E" w14:textId="77777777" w:rsidR="00CC3E74" w:rsidRPr="00310D45" w:rsidRDefault="00CC3E74" w:rsidP="00310D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449CA"/>
    <w:multiLevelType w:val="hybridMultilevel"/>
    <w:tmpl w:val="BA8E4E9E"/>
    <w:lvl w:ilvl="0" w:tplc="159411A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9502727"/>
    <w:multiLevelType w:val="hybridMultilevel"/>
    <w:tmpl w:val="B30C60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CD83C43"/>
    <w:multiLevelType w:val="hybridMultilevel"/>
    <w:tmpl w:val="644AD9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8B"/>
    <w:rsid w:val="00007DA4"/>
    <w:rsid w:val="00011FAB"/>
    <w:rsid w:val="000133F5"/>
    <w:rsid w:val="00015E02"/>
    <w:rsid w:val="00021ADD"/>
    <w:rsid w:val="0002565B"/>
    <w:rsid w:val="0002632B"/>
    <w:rsid w:val="000421CB"/>
    <w:rsid w:val="000516AE"/>
    <w:rsid w:val="000528E2"/>
    <w:rsid w:val="00066322"/>
    <w:rsid w:val="0006650E"/>
    <w:rsid w:val="00075651"/>
    <w:rsid w:val="00077273"/>
    <w:rsid w:val="000835A7"/>
    <w:rsid w:val="00084081"/>
    <w:rsid w:val="00092B79"/>
    <w:rsid w:val="00093E8F"/>
    <w:rsid w:val="00095A2B"/>
    <w:rsid w:val="00096E6D"/>
    <w:rsid w:val="000B73BD"/>
    <w:rsid w:val="000C47DF"/>
    <w:rsid w:val="000D0F09"/>
    <w:rsid w:val="000D288C"/>
    <w:rsid w:val="000D41B5"/>
    <w:rsid w:val="000F20BC"/>
    <w:rsid w:val="000F3FA5"/>
    <w:rsid w:val="000F6F9E"/>
    <w:rsid w:val="001035AC"/>
    <w:rsid w:val="00107E37"/>
    <w:rsid w:val="00107ED5"/>
    <w:rsid w:val="001148DF"/>
    <w:rsid w:val="0012231E"/>
    <w:rsid w:val="001317F6"/>
    <w:rsid w:val="00131B0C"/>
    <w:rsid w:val="00132166"/>
    <w:rsid w:val="00134367"/>
    <w:rsid w:val="00135A9E"/>
    <w:rsid w:val="00146111"/>
    <w:rsid w:val="0015043C"/>
    <w:rsid w:val="00150FF3"/>
    <w:rsid w:val="00151C85"/>
    <w:rsid w:val="00155114"/>
    <w:rsid w:val="00164381"/>
    <w:rsid w:val="001677BB"/>
    <w:rsid w:val="001751F8"/>
    <w:rsid w:val="00183ECC"/>
    <w:rsid w:val="00185A46"/>
    <w:rsid w:val="00186CFE"/>
    <w:rsid w:val="0019257D"/>
    <w:rsid w:val="00196B73"/>
    <w:rsid w:val="00197301"/>
    <w:rsid w:val="001A0D71"/>
    <w:rsid w:val="001A2F7B"/>
    <w:rsid w:val="001B67E6"/>
    <w:rsid w:val="001C4C25"/>
    <w:rsid w:val="001C5661"/>
    <w:rsid w:val="001D0BE7"/>
    <w:rsid w:val="001D18BF"/>
    <w:rsid w:val="001D3394"/>
    <w:rsid w:val="001D43DF"/>
    <w:rsid w:val="001D7A57"/>
    <w:rsid w:val="001E19A9"/>
    <w:rsid w:val="001F2CF7"/>
    <w:rsid w:val="001F3B1D"/>
    <w:rsid w:val="001F590F"/>
    <w:rsid w:val="002015B7"/>
    <w:rsid w:val="002073B7"/>
    <w:rsid w:val="00213303"/>
    <w:rsid w:val="0021549B"/>
    <w:rsid w:val="002164F7"/>
    <w:rsid w:val="00217EE4"/>
    <w:rsid w:val="00224C9C"/>
    <w:rsid w:val="002257D1"/>
    <w:rsid w:val="002265B4"/>
    <w:rsid w:val="00226B4A"/>
    <w:rsid w:val="00227186"/>
    <w:rsid w:val="0024308D"/>
    <w:rsid w:val="00251BDC"/>
    <w:rsid w:val="00261F6E"/>
    <w:rsid w:val="00262C88"/>
    <w:rsid w:val="00262F5C"/>
    <w:rsid w:val="0026510C"/>
    <w:rsid w:val="002660EE"/>
    <w:rsid w:val="0026796D"/>
    <w:rsid w:val="00277429"/>
    <w:rsid w:val="00277C51"/>
    <w:rsid w:val="002866B1"/>
    <w:rsid w:val="00291B81"/>
    <w:rsid w:val="00292F09"/>
    <w:rsid w:val="00295482"/>
    <w:rsid w:val="002A057E"/>
    <w:rsid w:val="002A1CC6"/>
    <w:rsid w:val="002A33F5"/>
    <w:rsid w:val="002A4641"/>
    <w:rsid w:val="002A6340"/>
    <w:rsid w:val="002B5A2A"/>
    <w:rsid w:val="002B6F33"/>
    <w:rsid w:val="002C4C8C"/>
    <w:rsid w:val="002C6BEF"/>
    <w:rsid w:val="002D1420"/>
    <w:rsid w:val="002D28D1"/>
    <w:rsid w:val="002F0201"/>
    <w:rsid w:val="002F04BA"/>
    <w:rsid w:val="002F0895"/>
    <w:rsid w:val="002F0CD8"/>
    <w:rsid w:val="002F169C"/>
    <w:rsid w:val="002F22BC"/>
    <w:rsid w:val="002F7C4D"/>
    <w:rsid w:val="00303B4A"/>
    <w:rsid w:val="00305EDC"/>
    <w:rsid w:val="00310D45"/>
    <w:rsid w:val="003133D7"/>
    <w:rsid w:val="00313BB2"/>
    <w:rsid w:val="003155C5"/>
    <w:rsid w:val="003211A8"/>
    <w:rsid w:val="00323529"/>
    <w:rsid w:val="00324AF7"/>
    <w:rsid w:val="00325857"/>
    <w:rsid w:val="003262D5"/>
    <w:rsid w:val="00330484"/>
    <w:rsid w:val="003330C7"/>
    <w:rsid w:val="0034193A"/>
    <w:rsid w:val="00345CF7"/>
    <w:rsid w:val="00347408"/>
    <w:rsid w:val="00347829"/>
    <w:rsid w:val="003621B6"/>
    <w:rsid w:val="003713FA"/>
    <w:rsid w:val="00377CEE"/>
    <w:rsid w:val="00385ED8"/>
    <w:rsid w:val="00386149"/>
    <w:rsid w:val="00387CD6"/>
    <w:rsid w:val="00390BBF"/>
    <w:rsid w:val="003A06F4"/>
    <w:rsid w:val="003B232B"/>
    <w:rsid w:val="003B2385"/>
    <w:rsid w:val="003B667F"/>
    <w:rsid w:val="003C102F"/>
    <w:rsid w:val="003C3EE9"/>
    <w:rsid w:val="003C728D"/>
    <w:rsid w:val="003D35CA"/>
    <w:rsid w:val="003E2A83"/>
    <w:rsid w:val="003E31FB"/>
    <w:rsid w:val="003F1C28"/>
    <w:rsid w:val="00401B24"/>
    <w:rsid w:val="00401D5F"/>
    <w:rsid w:val="004051ED"/>
    <w:rsid w:val="00405C41"/>
    <w:rsid w:val="00413B95"/>
    <w:rsid w:val="004152EB"/>
    <w:rsid w:val="00416B8B"/>
    <w:rsid w:val="0041782C"/>
    <w:rsid w:val="00420550"/>
    <w:rsid w:val="00420E62"/>
    <w:rsid w:val="0042422F"/>
    <w:rsid w:val="0042790D"/>
    <w:rsid w:val="00431518"/>
    <w:rsid w:val="00432490"/>
    <w:rsid w:val="00432DF6"/>
    <w:rsid w:val="004352BE"/>
    <w:rsid w:val="00436F50"/>
    <w:rsid w:val="0045287A"/>
    <w:rsid w:val="00456446"/>
    <w:rsid w:val="004565B1"/>
    <w:rsid w:val="00464393"/>
    <w:rsid w:val="004738BB"/>
    <w:rsid w:val="00477218"/>
    <w:rsid w:val="00483256"/>
    <w:rsid w:val="00484927"/>
    <w:rsid w:val="00485112"/>
    <w:rsid w:val="004956E9"/>
    <w:rsid w:val="004A2C15"/>
    <w:rsid w:val="004B0DC4"/>
    <w:rsid w:val="004B3D1D"/>
    <w:rsid w:val="004B75C1"/>
    <w:rsid w:val="004B7C87"/>
    <w:rsid w:val="004C514A"/>
    <w:rsid w:val="004D0ED5"/>
    <w:rsid w:val="004D2B70"/>
    <w:rsid w:val="004D3BAE"/>
    <w:rsid w:val="004D4DB3"/>
    <w:rsid w:val="004E1765"/>
    <w:rsid w:val="004E3434"/>
    <w:rsid w:val="004F21B2"/>
    <w:rsid w:val="004F435B"/>
    <w:rsid w:val="004F4940"/>
    <w:rsid w:val="004F498B"/>
    <w:rsid w:val="004F780C"/>
    <w:rsid w:val="004F7E4F"/>
    <w:rsid w:val="00501AD9"/>
    <w:rsid w:val="0050511E"/>
    <w:rsid w:val="0050622F"/>
    <w:rsid w:val="00507921"/>
    <w:rsid w:val="00507F01"/>
    <w:rsid w:val="00510B84"/>
    <w:rsid w:val="00515391"/>
    <w:rsid w:val="005167CE"/>
    <w:rsid w:val="00517B8D"/>
    <w:rsid w:val="00530328"/>
    <w:rsid w:val="005311CD"/>
    <w:rsid w:val="00537559"/>
    <w:rsid w:val="005429B7"/>
    <w:rsid w:val="00545C3B"/>
    <w:rsid w:val="005463A3"/>
    <w:rsid w:val="00546DE4"/>
    <w:rsid w:val="00550B35"/>
    <w:rsid w:val="00550C7B"/>
    <w:rsid w:val="00554C88"/>
    <w:rsid w:val="005632DC"/>
    <w:rsid w:val="0057115C"/>
    <w:rsid w:val="00573780"/>
    <w:rsid w:val="0058753F"/>
    <w:rsid w:val="00590388"/>
    <w:rsid w:val="0059081B"/>
    <w:rsid w:val="00594A6E"/>
    <w:rsid w:val="005A0647"/>
    <w:rsid w:val="005A55A4"/>
    <w:rsid w:val="005A591A"/>
    <w:rsid w:val="005B207F"/>
    <w:rsid w:val="005B4A6E"/>
    <w:rsid w:val="005C17FD"/>
    <w:rsid w:val="005C18F6"/>
    <w:rsid w:val="005C249D"/>
    <w:rsid w:val="005D00EA"/>
    <w:rsid w:val="005E4A8B"/>
    <w:rsid w:val="005E5586"/>
    <w:rsid w:val="005E71ED"/>
    <w:rsid w:val="00600BAF"/>
    <w:rsid w:val="00605637"/>
    <w:rsid w:val="00610EFD"/>
    <w:rsid w:val="00614A49"/>
    <w:rsid w:val="00621251"/>
    <w:rsid w:val="006236D0"/>
    <w:rsid w:val="00630614"/>
    <w:rsid w:val="00634D61"/>
    <w:rsid w:val="0064777F"/>
    <w:rsid w:val="006510AA"/>
    <w:rsid w:val="00651135"/>
    <w:rsid w:val="00654609"/>
    <w:rsid w:val="00657BD3"/>
    <w:rsid w:val="0067075E"/>
    <w:rsid w:val="00670D65"/>
    <w:rsid w:val="006719A8"/>
    <w:rsid w:val="006803D3"/>
    <w:rsid w:val="00684E62"/>
    <w:rsid w:val="006856E4"/>
    <w:rsid w:val="00686974"/>
    <w:rsid w:val="006A4679"/>
    <w:rsid w:val="006A7F85"/>
    <w:rsid w:val="006B6689"/>
    <w:rsid w:val="006B7785"/>
    <w:rsid w:val="006C5791"/>
    <w:rsid w:val="006C63E2"/>
    <w:rsid w:val="006D4BAB"/>
    <w:rsid w:val="006D5B49"/>
    <w:rsid w:val="006D6FC0"/>
    <w:rsid w:val="006E10C3"/>
    <w:rsid w:val="006E3138"/>
    <w:rsid w:val="006E5158"/>
    <w:rsid w:val="006F0F68"/>
    <w:rsid w:val="006F11C1"/>
    <w:rsid w:val="006F5308"/>
    <w:rsid w:val="006F787D"/>
    <w:rsid w:val="007074A5"/>
    <w:rsid w:val="00707EEC"/>
    <w:rsid w:val="00722522"/>
    <w:rsid w:val="00730960"/>
    <w:rsid w:val="00731E72"/>
    <w:rsid w:val="00732D8B"/>
    <w:rsid w:val="00736CAA"/>
    <w:rsid w:val="00750211"/>
    <w:rsid w:val="0075106D"/>
    <w:rsid w:val="0075593F"/>
    <w:rsid w:val="007574AD"/>
    <w:rsid w:val="00761A97"/>
    <w:rsid w:val="00763296"/>
    <w:rsid w:val="0076656D"/>
    <w:rsid w:val="007677C6"/>
    <w:rsid w:val="007756B8"/>
    <w:rsid w:val="00784AC2"/>
    <w:rsid w:val="007868AB"/>
    <w:rsid w:val="0079478E"/>
    <w:rsid w:val="00794AE4"/>
    <w:rsid w:val="007A08FE"/>
    <w:rsid w:val="007A306F"/>
    <w:rsid w:val="007A3C77"/>
    <w:rsid w:val="007A4218"/>
    <w:rsid w:val="007A4DE9"/>
    <w:rsid w:val="007B253B"/>
    <w:rsid w:val="007B5978"/>
    <w:rsid w:val="007C0164"/>
    <w:rsid w:val="007C7CA4"/>
    <w:rsid w:val="007D08EA"/>
    <w:rsid w:val="007D4A33"/>
    <w:rsid w:val="007D711F"/>
    <w:rsid w:val="007E6867"/>
    <w:rsid w:val="007E7168"/>
    <w:rsid w:val="007F027C"/>
    <w:rsid w:val="007F2A2B"/>
    <w:rsid w:val="00802C89"/>
    <w:rsid w:val="00804BB7"/>
    <w:rsid w:val="008051AB"/>
    <w:rsid w:val="0080776A"/>
    <w:rsid w:val="00813644"/>
    <w:rsid w:val="00822C09"/>
    <w:rsid w:val="0082413C"/>
    <w:rsid w:val="008253A1"/>
    <w:rsid w:val="00825A62"/>
    <w:rsid w:val="00826A3D"/>
    <w:rsid w:val="00826EC1"/>
    <w:rsid w:val="008308B4"/>
    <w:rsid w:val="00830AF1"/>
    <w:rsid w:val="00832382"/>
    <w:rsid w:val="00840205"/>
    <w:rsid w:val="00841E75"/>
    <w:rsid w:val="00851CCD"/>
    <w:rsid w:val="00852F4E"/>
    <w:rsid w:val="00861E95"/>
    <w:rsid w:val="00862717"/>
    <w:rsid w:val="00862827"/>
    <w:rsid w:val="00865446"/>
    <w:rsid w:val="0087154B"/>
    <w:rsid w:val="008722FD"/>
    <w:rsid w:val="008728C9"/>
    <w:rsid w:val="0087416E"/>
    <w:rsid w:val="0087658B"/>
    <w:rsid w:val="008846AF"/>
    <w:rsid w:val="00890035"/>
    <w:rsid w:val="00891089"/>
    <w:rsid w:val="00896BC8"/>
    <w:rsid w:val="008A0020"/>
    <w:rsid w:val="008A098B"/>
    <w:rsid w:val="008A3AD0"/>
    <w:rsid w:val="008B3198"/>
    <w:rsid w:val="008B7126"/>
    <w:rsid w:val="008C1130"/>
    <w:rsid w:val="008C7200"/>
    <w:rsid w:val="008C770E"/>
    <w:rsid w:val="008D0A74"/>
    <w:rsid w:val="008D1DED"/>
    <w:rsid w:val="008D506D"/>
    <w:rsid w:val="008E076A"/>
    <w:rsid w:val="008E1052"/>
    <w:rsid w:val="008E5948"/>
    <w:rsid w:val="008F635E"/>
    <w:rsid w:val="008F714B"/>
    <w:rsid w:val="00907883"/>
    <w:rsid w:val="00913543"/>
    <w:rsid w:val="009149EE"/>
    <w:rsid w:val="00915D26"/>
    <w:rsid w:val="00920EC8"/>
    <w:rsid w:val="009332DB"/>
    <w:rsid w:val="009336E6"/>
    <w:rsid w:val="00936D41"/>
    <w:rsid w:val="00940808"/>
    <w:rsid w:val="00950A03"/>
    <w:rsid w:val="00952852"/>
    <w:rsid w:val="009536A5"/>
    <w:rsid w:val="00953995"/>
    <w:rsid w:val="00963D8B"/>
    <w:rsid w:val="00965FB0"/>
    <w:rsid w:val="00967B19"/>
    <w:rsid w:val="009704B1"/>
    <w:rsid w:val="00970848"/>
    <w:rsid w:val="00970A80"/>
    <w:rsid w:val="00975BFC"/>
    <w:rsid w:val="00976DFE"/>
    <w:rsid w:val="00983CEF"/>
    <w:rsid w:val="009856B7"/>
    <w:rsid w:val="00985EFB"/>
    <w:rsid w:val="009913CA"/>
    <w:rsid w:val="00991F5C"/>
    <w:rsid w:val="00993189"/>
    <w:rsid w:val="00996B1F"/>
    <w:rsid w:val="009A31D9"/>
    <w:rsid w:val="009A58D0"/>
    <w:rsid w:val="009A61C4"/>
    <w:rsid w:val="009B0328"/>
    <w:rsid w:val="009B0576"/>
    <w:rsid w:val="009B3671"/>
    <w:rsid w:val="009B475A"/>
    <w:rsid w:val="009B7007"/>
    <w:rsid w:val="009C15A4"/>
    <w:rsid w:val="009C1DBD"/>
    <w:rsid w:val="009C688A"/>
    <w:rsid w:val="009D08F1"/>
    <w:rsid w:val="009D2550"/>
    <w:rsid w:val="009D6BEE"/>
    <w:rsid w:val="009E0E28"/>
    <w:rsid w:val="009E4B01"/>
    <w:rsid w:val="009E6DB2"/>
    <w:rsid w:val="009E7946"/>
    <w:rsid w:val="009F7C79"/>
    <w:rsid w:val="00A00164"/>
    <w:rsid w:val="00A0161E"/>
    <w:rsid w:val="00A0168D"/>
    <w:rsid w:val="00A06825"/>
    <w:rsid w:val="00A120B3"/>
    <w:rsid w:val="00A241E6"/>
    <w:rsid w:val="00A30B38"/>
    <w:rsid w:val="00A35046"/>
    <w:rsid w:val="00A429F0"/>
    <w:rsid w:val="00A43C5C"/>
    <w:rsid w:val="00A47569"/>
    <w:rsid w:val="00A4778B"/>
    <w:rsid w:val="00A561CA"/>
    <w:rsid w:val="00A60740"/>
    <w:rsid w:val="00A60911"/>
    <w:rsid w:val="00A639A9"/>
    <w:rsid w:val="00A65EB4"/>
    <w:rsid w:val="00A75915"/>
    <w:rsid w:val="00A75E26"/>
    <w:rsid w:val="00A80FA2"/>
    <w:rsid w:val="00A8268C"/>
    <w:rsid w:val="00A856B5"/>
    <w:rsid w:val="00A8602D"/>
    <w:rsid w:val="00A95EF3"/>
    <w:rsid w:val="00A9716F"/>
    <w:rsid w:val="00AA4C60"/>
    <w:rsid w:val="00AB0036"/>
    <w:rsid w:val="00AB0764"/>
    <w:rsid w:val="00AB116C"/>
    <w:rsid w:val="00AB2C20"/>
    <w:rsid w:val="00AC0F4C"/>
    <w:rsid w:val="00AC2CAC"/>
    <w:rsid w:val="00AC7532"/>
    <w:rsid w:val="00AD0E14"/>
    <w:rsid w:val="00AD0EE7"/>
    <w:rsid w:val="00AD10D3"/>
    <w:rsid w:val="00AE076D"/>
    <w:rsid w:val="00AE2533"/>
    <w:rsid w:val="00AE3856"/>
    <w:rsid w:val="00AE546A"/>
    <w:rsid w:val="00AE63AD"/>
    <w:rsid w:val="00AF3B9B"/>
    <w:rsid w:val="00AF6B54"/>
    <w:rsid w:val="00AF7580"/>
    <w:rsid w:val="00B0412A"/>
    <w:rsid w:val="00B073DB"/>
    <w:rsid w:val="00B16126"/>
    <w:rsid w:val="00B20060"/>
    <w:rsid w:val="00B23321"/>
    <w:rsid w:val="00B316CF"/>
    <w:rsid w:val="00B40BD7"/>
    <w:rsid w:val="00B41C14"/>
    <w:rsid w:val="00B432B6"/>
    <w:rsid w:val="00B43C5D"/>
    <w:rsid w:val="00B43EDF"/>
    <w:rsid w:val="00B523F8"/>
    <w:rsid w:val="00B54586"/>
    <w:rsid w:val="00B57CB6"/>
    <w:rsid w:val="00B6142D"/>
    <w:rsid w:val="00B6331F"/>
    <w:rsid w:val="00B644C7"/>
    <w:rsid w:val="00B65E0E"/>
    <w:rsid w:val="00B65F4C"/>
    <w:rsid w:val="00B6705B"/>
    <w:rsid w:val="00B716BB"/>
    <w:rsid w:val="00B858DD"/>
    <w:rsid w:val="00B93E3E"/>
    <w:rsid w:val="00B94F14"/>
    <w:rsid w:val="00BA1E21"/>
    <w:rsid w:val="00BA5C5C"/>
    <w:rsid w:val="00BB69D4"/>
    <w:rsid w:val="00BC23A9"/>
    <w:rsid w:val="00BC35E1"/>
    <w:rsid w:val="00BC4A84"/>
    <w:rsid w:val="00BC63BF"/>
    <w:rsid w:val="00BC7242"/>
    <w:rsid w:val="00BD0770"/>
    <w:rsid w:val="00BD5F5A"/>
    <w:rsid w:val="00BE078A"/>
    <w:rsid w:val="00BF7452"/>
    <w:rsid w:val="00C015B1"/>
    <w:rsid w:val="00C11B8A"/>
    <w:rsid w:val="00C12C8A"/>
    <w:rsid w:val="00C14BDF"/>
    <w:rsid w:val="00C23763"/>
    <w:rsid w:val="00C249B1"/>
    <w:rsid w:val="00C24EFB"/>
    <w:rsid w:val="00C31CDF"/>
    <w:rsid w:val="00C5106D"/>
    <w:rsid w:val="00C52EA2"/>
    <w:rsid w:val="00C6351F"/>
    <w:rsid w:val="00C6702C"/>
    <w:rsid w:val="00C71C6D"/>
    <w:rsid w:val="00C7461F"/>
    <w:rsid w:val="00C765A8"/>
    <w:rsid w:val="00C77013"/>
    <w:rsid w:val="00C818D6"/>
    <w:rsid w:val="00C832CF"/>
    <w:rsid w:val="00C84580"/>
    <w:rsid w:val="00C90A71"/>
    <w:rsid w:val="00C9117E"/>
    <w:rsid w:val="00CA16C2"/>
    <w:rsid w:val="00CA6EA4"/>
    <w:rsid w:val="00CC0335"/>
    <w:rsid w:val="00CC073E"/>
    <w:rsid w:val="00CC24BF"/>
    <w:rsid w:val="00CC3E74"/>
    <w:rsid w:val="00CD14AB"/>
    <w:rsid w:val="00CD2F06"/>
    <w:rsid w:val="00CD5928"/>
    <w:rsid w:val="00CD5CE1"/>
    <w:rsid w:val="00CD6170"/>
    <w:rsid w:val="00CD7EC4"/>
    <w:rsid w:val="00CE1F4A"/>
    <w:rsid w:val="00CE529A"/>
    <w:rsid w:val="00CF2074"/>
    <w:rsid w:val="00CF2249"/>
    <w:rsid w:val="00D029E6"/>
    <w:rsid w:val="00D0661A"/>
    <w:rsid w:val="00D07DB7"/>
    <w:rsid w:val="00D110FA"/>
    <w:rsid w:val="00D144A7"/>
    <w:rsid w:val="00D347B5"/>
    <w:rsid w:val="00D350B3"/>
    <w:rsid w:val="00D37917"/>
    <w:rsid w:val="00D40443"/>
    <w:rsid w:val="00D43264"/>
    <w:rsid w:val="00D440C1"/>
    <w:rsid w:val="00D45B72"/>
    <w:rsid w:val="00D47AA5"/>
    <w:rsid w:val="00D562B3"/>
    <w:rsid w:val="00D56DAD"/>
    <w:rsid w:val="00D56EE2"/>
    <w:rsid w:val="00D61945"/>
    <w:rsid w:val="00D63034"/>
    <w:rsid w:val="00D640E9"/>
    <w:rsid w:val="00D64C0A"/>
    <w:rsid w:val="00D70B01"/>
    <w:rsid w:val="00D73B93"/>
    <w:rsid w:val="00D7483F"/>
    <w:rsid w:val="00D75AA3"/>
    <w:rsid w:val="00D766AB"/>
    <w:rsid w:val="00D80206"/>
    <w:rsid w:val="00D82FA8"/>
    <w:rsid w:val="00D8637F"/>
    <w:rsid w:val="00D86CC1"/>
    <w:rsid w:val="00D94DC3"/>
    <w:rsid w:val="00DA5F5C"/>
    <w:rsid w:val="00DB0CF3"/>
    <w:rsid w:val="00DB3113"/>
    <w:rsid w:val="00DB53F5"/>
    <w:rsid w:val="00DC32FC"/>
    <w:rsid w:val="00DC38D9"/>
    <w:rsid w:val="00DD4EB3"/>
    <w:rsid w:val="00DD6228"/>
    <w:rsid w:val="00DD70E5"/>
    <w:rsid w:val="00DD729A"/>
    <w:rsid w:val="00DE059F"/>
    <w:rsid w:val="00DE294D"/>
    <w:rsid w:val="00DF2428"/>
    <w:rsid w:val="00DF277C"/>
    <w:rsid w:val="00DF45E9"/>
    <w:rsid w:val="00E01BD0"/>
    <w:rsid w:val="00E118A4"/>
    <w:rsid w:val="00E132E2"/>
    <w:rsid w:val="00E20BA2"/>
    <w:rsid w:val="00E24F08"/>
    <w:rsid w:val="00E24F79"/>
    <w:rsid w:val="00E32F6F"/>
    <w:rsid w:val="00E334F3"/>
    <w:rsid w:val="00E36E42"/>
    <w:rsid w:val="00E42EFF"/>
    <w:rsid w:val="00E545E5"/>
    <w:rsid w:val="00E62E8F"/>
    <w:rsid w:val="00E67F28"/>
    <w:rsid w:val="00E8441D"/>
    <w:rsid w:val="00E8602F"/>
    <w:rsid w:val="00E906FA"/>
    <w:rsid w:val="00E915EB"/>
    <w:rsid w:val="00E95D96"/>
    <w:rsid w:val="00EA073F"/>
    <w:rsid w:val="00EA0753"/>
    <w:rsid w:val="00EA1A49"/>
    <w:rsid w:val="00EB2060"/>
    <w:rsid w:val="00EC1B04"/>
    <w:rsid w:val="00EC48A6"/>
    <w:rsid w:val="00ED024A"/>
    <w:rsid w:val="00ED33D9"/>
    <w:rsid w:val="00ED53C7"/>
    <w:rsid w:val="00ED6B84"/>
    <w:rsid w:val="00ED77FD"/>
    <w:rsid w:val="00EE17FA"/>
    <w:rsid w:val="00EE58B8"/>
    <w:rsid w:val="00EF04B3"/>
    <w:rsid w:val="00EF09D6"/>
    <w:rsid w:val="00EF19CA"/>
    <w:rsid w:val="00EF1B6A"/>
    <w:rsid w:val="00EF39C2"/>
    <w:rsid w:val="00EF412E"/>
    <w:rsid w:val="00F10794"/>
    <w:rsid w:val="00F23464"/>
    <w:rsid w:val="00F274C4"/>
    <w:rsid w:val="00F34B57"/>
    <w:rsid w:val="00F40114"/>
    <w:rsid w:val="00F41ACA"/>
    <w:rsid w:val="00F432E8"/>
    <w:rsid w:val="00F44087"/>
    <w:rsid w:val="00F45755"/>
    <w:rsid w:val="00F4630F"/>
    <w:rsid w:val="00F46E89"/>
    <w:rsid w:val="00F470C3"/>
    <w:rsid w:val="00F51952"/>
    <w:rsid w:val="00F519FD"/>
    <w:rsid w:val="00F53CAB"/>
    <w:rsid w:val="00F560CF"/>
    <w:rsid w:val="00F57041"/>
    <w:rsid w:val="00F57AC2"/>
    <w:rsid w:val="00F63E13"/>
    <w:rsid w:val="00F651F0"/>
    <w:rsid w:val="00F65314"/>
    <w:rsid w:val="00F7760F"/>
    <w:rsid w:val="00F80FC5"/>
    <w:rsid w:val="00F93261"/>
    <w:rsid w:val="00F93FD7"/>
    <w:rsid w:val="00FB4707"/>
    <w:rsid w:val="00FC4EC8"/>
    <w:rsid w:val="00FD7437"/>
    <w:rsid w:val="00FE38EE"/>
    <w:rsid w:val="00FE5B30"/>
    <w:rsid w:val="00FF18CC"/>
    <w:rsid w:val="00FF3205"/>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5F757"/>
  <w15:docId w15:val="{009B82A6-117A-468D-8C2F-FBE23B5D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573780"/>
    <w:pPr>
      <w:spacing w:after="0" w:line="240" w:lineRule="auto"/>
      <w:contextualSpacing/>
      <w:jc w:val="center"/>
    </w:pPr>
    <w:rPr>
      <w:rFonts w:ascii="Times New Roman" w:hAnsi="Times New Roman" w:cs="Times New Roman"/>
      <w:b/>
      <w:bCs/>
      <w:sz w:val="24"/>
      <w:szCs w:val="24"/>
    </w:rPr>
  </w:style>
  <w:style w:type="character" w:customStyle="1" w:styleId="SupenEncabezadoCar">
    <w:name w:val="Supen_Encabezado Car"/>
    <w:basedOn w:val="Fuentedeprrafopredeter"/>
    <w:link w:val="SupenEncabezado"/>
    <w:rsid w:val="00573780"/>
    <w:rPr>
      <w:rFonts w:ascii="Times New Roman" w:hAnsi="Times New Roman" w:cs="Times New Roman"/>
      <w:b/>
      <w:bCs/>
      <w:sz w:val="24"/>
      <w:szCs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16B8B"/>
    <w:pPr>
      <w:spacing w:after="0" w:line="240" w:lineRule="auto"/>
    </w:pPr>
    <w:rPr>
      <w:rFonts w:eastAsiaTheme="minorEastAsia"/>
      <w:lang w:val="es-CR" w:eastAsia="es-CR"/>
    </w:rPr>
    <w:tblPr>
      <w:tblCellMar>
        <w:top w:w="0" w:type="dxa"/>
        <w:left w:w="0" w:type="dxa"/>
        <w:bottom w:w="0" w:type="dxa"/>
        <w:right w:w="0" w:type="dxa"/>
      </w:tblCellMar>
    </w:tblPr>
  </w:style>
  <w:style w:type="paragraph" w:styleId="Prrafodelista">
    <w:name w:val="List Paragraph"/>
    <w:basedOn w:val="Normal"/>
    <w:uiPriority w:val="1"/>
    <w:qFormat/>
    <w:rsid w:val="00432DF6"/>
    <w:pPr>
      <w:ind w:left="720"/>
      <w:contextualSpacing/>
    </w:pPr>
  </w:style>
  <w:style w:type="character" w:styleId="Refdecomentario">
    <w:name w:val="annotation reference"/>
    <w:basedOn w:val="Fuentedeprrafopredeter"/>
    <w:uiPriority w:val="99"/>
    <w:semiHidden/>
    <w:unhideWhenUsed/>
    <w:rsid w:val="00015E02"/>
    <w:rPr>
      <w:sz w:val="16"/>
      <w:szCs w:val="16"/>
    </w:rPr>
  </w:style>
  <w:style w:type="paragraph" w:styleId="Textocomentario">
    <w:name w:val="annotation text"/>
    <w:basedOn w:val="Normal"/>
    <w:link w:val="TextocomentarioCar"/>
    <w:uiPriority w:val="99"/>
    <w:semiHidden/>
    <w:unhideWhenUsed/>
    <w:rsid w:val="00015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E0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015E02"/>
    <w:rPr>
      <w:b/>
      <w:bCs/>
    </w:rPr>
  </w:style>
  <w:style w:type="character" w:customStyle="1" w:styleId="AsuntodelcomentarioCar">
    <w:name w:val="Asunto del comentario Car"/>
    <w:basedOn w:val="TextocomentarioCar"/>
    <w:link w:val="Asuntodelcomentario"/>
    <w:uiPriority w:val="99"/>
    <w:semiHidden/>
    <w:rsid w:val="00015E02"/>
    <w:rPr>
      <w:rFonts w:ascii="Times New Roman" w:hAnsi="Times New Roman"/>
      <w:b/>
      <w:bCs/>
      <w:sz w:val="20"/>
      <w:szCs w:val="20"/>
    </w:rPr>
  </w:style>
  <w:style w:type="paragraph" w:customStyle="1" w:styleId="Default">
    <w:name w:val="Default"/>
    <w:rsid w:val="00C818D6"/>
    <w:pPr>
      <w:autoSpaceDE w:val="0"/>
      <w:autoSpaceDN w:val="0"/>
      <w:adjustRightInd w:val="0"/>
      <w:spacing w:after="0" w:line="240" w:lineRule="auto"/>
    </w:pPr>
    <w:rPr>
      <w:rFonts w:ascii="Times New Roman" w:hAnsi="Times New Roman" w:cs="Times New Roman"/>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B729D4B2644B11B923F71EA983CB2B"/>
        <w:category>
          <w:name w:val="General"/>
          <w:gallery w:val="placeholder"/>
        </w:category>
        <w:types>
          <w:type w:val="bbPlcHdr"/>
        </w:types>
        <w:behaviors>
          <w:behavior w:val="content"/>
        </w:behaviors>
        <w:guid w:val="{558029EC-64D4-42CE-A0A5-A53085418625}"/>
      </w:docPartPr>
      <w:docPartBody>
        <w:p w:rsidR="00894068" w:rsidRDefault="00E85FCF">
          <w:pPr>
            <w:pStyle w:val="84B729D4B2644B11B923F71EA983CB2B"/>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CF"/>
    <w:rsid w:val="00042D8B"/>
    <w:rsid w:val="000547AA"/>
    <w:rsid w:val="000F154F"/>
    <w:rsid w:val="00243253"/>
    <w:rsid w:val="00281E60"/>
    <w:rsid w:val="00314B86"/>
    <w:rsid w:val="00403AD1"/>
    <w:rsid w:val="005369CC"/>
    <w:rsid w:val="00653437"/>
    <w:rsid w:val="006B1B9C"/>
    <w:rsid w:val="00894068"/>
    <w:rsid w:val="008D03DD"/>
    <w:rsid w:val="00970549"/>
    <w:rsid w:val="00A8037F"/>
    <w:rsid w:val="00A86813"/>
    <w:rsid w:val="00B346FA"/>
    <w:rsid w:val="00B73F5F"/>
    <w:rsid w:val="00C46A51"/>
    <w:rsid w:val="00CD67F1"/>
    <w:rsid w:val="00DC7AC0"/>
    <w:rsid w:val="00E53531"/>
    <w:rsid w:val="00E85FCF"/>
    <w:rsid w:val="00EF088F"/>
    <w:rsid w:val="00EF47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84B729D4B2644B11B923F71EA983CB2B">
    <w:name w:val="84B729D4B2644B11B923F71EA983C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https://si.supen.fi.cr/Tramites/Tram_Detalle_Evento.aspx?evento=2021074283&amp;op=3</Url>
      <Description>2021074283</Description>
    </Evento>
  </documentManagement>
</p:properties>
</file>

<file path=customXml/itemProps1.xml><?xml version="1.0" encoding="utf-8"?>
<ds:datastoreItem xmlns:ds="http://schemas.openxmlformats.org/officeDocument/2006/customXml" ds:itemID="{7CCDB030-7D5C-46CB-81E7-B1CF4E38B1A5}">
  <ds:schemaRefs>
    <ds:schemaRef ds:uri="http://schemas.microsoft.com/sharepoint/v3/contenttype/forms"/>
  </ds:schemaRefs>
</ds:datastoreItem>
</file>

<file path=customXml/itemProps2.xml><?xml version="1.0" encoding="utf-8"?>
<ds:datastoreItem xmlns:ds="http://schemas.openxmlformats.org/officeDocument/2006/customXml" ds:itemID="{55F15AD9-DF2A-4C7B-B402-57662A72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A7D1C-4FD5-4B08-92BF-873F42EBC2CA}">
  <ds:schemaRefs>
    <ds:schemaRef ds:uri="http://schemas.openxmlformats.org/officeDocument/2006/bibliography"/>
  </ds:schemaRefs>
</ds:datastoreItem>
</file>

<file path=customXml/itemProps4.xml><?xml version="1.0" encoding="utf-8"?>
<ds:datastoreItem xmlns:ds="http://schemas.openxmlformats.org/officeDocument/2006/customXml" ds:itemID="{2610CA2A-D03A-413E-A906-CC5F33760B16}">
  <ds:schemaRefs>
    <ds:schemaRef ds:uri="http://schemas.microsoft.com/office/2006/metadata/properties"/>
    <ds:schemaRef ds:uri="http://schemas.microsoft.com/office/infopath/2007/PartnerControls"/>
    <ds:schemaRef ds:uri="6c2d2cf2-004b-47d1-b91d-f9a62dc21bae"/>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4</TotalTime>
  <Pages>4</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20211210Ofic.docx</vt:lpstr>
    </vt:vector>
  </TitlesOfParts>
  <Company/>
  <LinksUpToDate>false</LinksUpToDate>
  <CharactersWithSpaces>7638</CharactersWithSpaces>
  <SharedDoc>false</SharedDoc>
  <HLinks>
    <vt:vector size="12" baseType="variant">
      <vt:variant>
        <vt:i4>5767214</vt:i4>
      </vt:variant>
      <vt:variant>
        <vt:i4>9</vt:i4>
      </vt:variant>
      <vt:variant>
        <vt:i4>0</vt:i4>
      </vt:variant>
      <vt:variant>
        <vt:i4>5</vt:i4>
      </vt:variant>
      <vt:variant>
        <vt:lpwstr>mailto:supen@supen.fi.cr</vt:lpwstr>
      </vt:variant>
      <vt:variant>
        <vt:lpwstr/>
      </vt: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2021SPA248.docx</dc:title>
  <dc:subject/>
  <dc:creator>GUZMAN FERNANDEZ JUAN IGNACIO</dc:creator>
  <cp:keywords/>
  <dc:description/>
  <cp:lastModifiedBy>RODRIGUEZ BOVIERI GIANFRANCO</cp:lastModifiedBy>
  <cp:revision>3</cp:revision>
  <cp:lastPrinted>2022-01-18T15:15:00Z</cp:lastPrinted>
  <dcterms:created xsi:type="dcterms:W3CDTF">2022-01-18T15:12:00Z</dcterms:created>
  <dcterms:modified xsi:type="dcterms:W3CDTF">2022-01-18T15:15:00Z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ies>
</file>